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i w:val="0"/>
          <w:sz w:val="28"/>
        </w:rPr>
        <w:t>Advances in AI-Driven Soil Health Diagnostics: Opportunities, Challenges and Future Directions</w:t>
      </w:r>
    </w:p>
    <w:p>
      <w:pPr>
        <w:spacing w:after="80" w:before="40"/>
        <w:jc w:val="center"/>
      </w:pPr>
      <w:r>
        <w:rPr>
          <w:rFonts w:ascii="Times New Roman" w:hAnsi="Times New Roman"/>
          <w:b w:val="0"/>
          <w:i/>
          <w:sz w:val="22"/>
        </w:rPr>
        <w:t>1*Nasir Mehmood, 1Vishnu D. Rajput, 2Dr. Amber Sarwar, 1Vicky Anand, 1Swarnendrab Banerjee, 1Mohammad Gedafaw, 1Saglara Mandzhieva, 1Tatyana Minkina</w:t>
      </w:r>
    </w:p>
    <w:p>
      <w:pPr>
        <w:spacing w:after="80" w:before="40"/>
        <w:jc w:val="center"/>
      </w:pPr>
      <w:r>
        <w:rPr>
          <w:rFonts w:ascii="Times New Roman" w:hAnsi="Times New Roman"/>
          <w:b w:val="0"/>
          <w:i w:val="0"/>
          <w:sz w:val="22"/>
        </w:rPr>
        <w:t>1Academy of Biology and Medicine, Southern Federal University, Rostov on Don, Russia</w:t>
      </w:r>
    </w:p>
    <w:p>
      <w:pPr>
        <w:spacing w:after="80" w:before="40"/>
        <w:jc w:val="center"/>
      </w:pPr>
      <w:r>
        <w:rPr>
          <w:rFonts w:ascii="Times New Roman" w:hAnsi="Times New Roman"/>
          <w:b w:val="0"/>
          <w:i w:val="0"/>
          <w:sz w:val="22"/>
        </w:rPr>
        <w:t>2Department of Computer Science, Rawalpindi Women University, Rawalpindi, Pakistan</w:t>
      </w:r>
    </w:p>
    <w:p>
      <w:pPr>
        <w:spacing w:after="80" w:before="40"/>
        <w:jc w:val="center"/>
      </w:pPr>
      <w:r>
        <w:rPr>
          <w:rFonts w:ascii="Times New Roman" w:hAnsi="Times New Roman"/>
          <w:b w:val="0"/>
          <w:i/>
          <w:sz w:val="22"/>
        </w:rPr>
        <w:t>Corresponding Author*: nasirm20@gmail.com</w:t>
      </w:r>
    </w:p>
    <w:p>
      <w:pPr>
        <w:pStyle w:val="Heading1"/>
      </w:pPr>
      <w:r>
        <w:rPr>
          <w:rFonts w:ascii="Times New Roman" w:hAnsi="Times New Roman"/>
          <w:b/>
          <w:color w:val="000000"/>
          <w:sz w:val="26"/>
        </w:rPr>
        <w:t>Abstract</w:t>
      </w:r>
    </w:p>
    <w:p>
      <w:pPr>
        <w:spacing w:after="80" w:before="40"/>
        <w:jc w:val="both"/>
      </w:pPr>
      <w:r>
        <w:rPr>
          <w:rFonts w:ascii="Times New Roman" w:hAnsi="Times New Roman"/>
          <w:b w:val="0"/>
          <w:i w:val="0"/>
          <w:sz w:val="22"/>
        </w:rPr>
        <w:t>Soil health is essential for global food security, ecosystem sustainability and its adaptability to climate change. In view of the dependability on soil health, the conventional soil diagnostic techniques are labor extensive, time consuming and limited in geographical coverage. The advent of Artificial Intelligence (AI) is now transforming soil health diagnostics by provision of rapid, precise, economical and flexible diagnosis of various soil health parameters. The current review comprehensively examined related studies following a Systematic Literature Review (SLR) approach guided by PRISMA principles. We systematically analyzed advances in machine learning algorithms, remote sensing technologies, spectroscopic approaches and Internet of Things (IoT) sensor networks. We also highlight significant challenges including data availability and quality, model interpretability, scale issues and implementation limits in various soil contexts. The future directions and research gaps include the integration of multi-modal data sources, explainable AI frameworks (SHAP, LIME, Grad-CAM), edge computing solutions and the promise of cutting-edge technologies (quantum computing and synthetic biology). This review provides an overview for academics, professionals and policymakers on the aspects of AI and soil health diagnosis development.</w:t>
      </w:r>
    </w:p>
    <w:p>
      <w:pPr>
        <w:spacing w:after="80" w:before="40"/>
        <w:jc w:val="both"/>
      </w:pPr>
      <w:r>
        <w:rPr>
          <w:rFonts w:ascii="Times New Roman" w:hAnsi="Times New Roman"/>
          <w:b w:val="0"/>
          <w:i/>
          <w:sz w:val="22"/>
        </w:rPr>
        <w:t>Keywords: artificial intelligence, machine learning, deep learning, soil health, precision agriculture, explainable AI, remote sensing, spectroscopy, IoT</w:t>
      </w:r>
    </w:p>
    <w:p>
      <w:pPr>
        <w:pStyle w:val="Heading1"/>
      </w:pPr>
      <w:r>
        <w:rPr>
          <w:rFonts w:ascii="Times New Roman" w:hAnsi="Times New Roman"/>
          <w:b/>
          <w:color w:val="000000"/>
          <w:sz w:val="26"/>
        </w:rPr>
        <w:t>1. Introduction</w:t>
      </w:r>
    </w:p>
    <w:p>
      <w:pPr>
        <w:spacing w:after="80" w:before="40"/>
        <w:jc w:val="both"/>
      </w:pPr>
      <w:r>
        <w:rPr>
          <w:rFonts w:ascii="Times New Roman" w:hAnsi="Times New Roman"/>
          <w:b w:val="0"/>
          <w:i w:val="0"/>
          <w:sz w:val="22"/>
        </w:rPr>
        <w:t>The ability of the soil to continuously function as a thriving ecosystem to support humans, animals and plants is referred to as soil health (Pandao et al., 2024). As the population increases along with the rapid climate change scenario, it is vital to maintain and enhance soil health. It is critical for food security, preservation of biodiversity and minimal negative impact on the environment (Rau and Sridhar, 2025; Farooq et al., 2024). Conventional methods used for assessment of soil health e.g. physical, chemical and biological lab analyses of soil provide valuable information. However, such analyses showed limitations in terms of time, required resources and applicability at large geographical areas (Nadporozhskaya et al., 2024). These limitations have induced the advent of modern and innovative diagnostic methods that can offer prompt, accurate and scalable soil health diagnosis.</w:t>
      </w:r>
    </w:p>
    <w:p>
      <w:pPr>
        <w:spacing w:after="80" w:before="40"/>
        <w:jc w:val="both"/>
      </w:pPr>
      <w:r>
        <w:rPr>
          <w:rFonts w:ascii="Times New Roman" w:hAnsi="Times New Roman"/>
          <w:b w:val="0"/>
          <w:i w:val="0"/>
          <w:sz w:val="22"/>
        </w:rPr>
        <w:t>Soil science is becoming an emerging field in which the utilization and advancement of artificial intelligence (AI) and machine learning (ML) technologies have been evident (Figure 1). The AI-enabled soil health diagnostics (SHD) considers analysis of complex data from multiple sources on required parameters of soil health using computational techniques. These sources include high-resolution satellite imagery, proximal sensors, remote sensing, spectroscopic and environmental data (Minasny and McBratney, 2025; Wadoux et al., 2025; Wadoux et al., 2020; Padarian 2019). The integration of AI in SHD has shown great progress over the last 10–15 years due to advancement in computational analysis, algorithms development, modern sensor systems and data availability (Biazar et al., 2025; Lu et al., 2024; Hengl et al., 2017). AI-integrated Machine Learning (ML) techniques demonstrate a great ability to predict soil organic carbon (SOC), nutrient and moisture contents, structure, texture along with other key properties. These techniques cover traditional algorithms like random forests and support vector machines with more complex deep learning models such as convolutional neural networks (CNNs) and recurrent neural networks (RNNs) (Minasny and McBratney, 2025; Pal and Gupta, 2025; Lionel et al., 2025).</w:t>
      </w:r>
    </w:p>
    <w:p>
      <w:pPr>
        <w:spacing w:after="80" w:before="40"/>
        <w:jc w:val="both"/>
      </w:pPr>
      <w:r>
        <w:rPr>
          <w:rFonts w:ascii="Times New Roman" w:hAnsi="Times New Roman"/>
          <w:b w:val="0"/>
          <w:i w:val="0"/>
          <w:sz w:val="22"/>
        </w:rPr>
        <w:t>For effective utilization of the enormous ability of AI in soil health diagnostics, certain considerable challenges need to be overcome despite developments. The availability of data and its quality is a vital challenge especially in developing nations having limited or primarily soil databases (Pandey et al., 2025; Arrouay et al., 2017). Complicated AI algorithms may function as black boxes, thus restricting their suitability and acceptance by professionals and regulators. Additionally, the interpretability of models and accuracy is also an area that needs attention (Wadoux et al., 2021). In terms of technological constraint, the key issues are the applicability and implementation of such models under dynamic soil types, different geographical and climatic regions (Padarian et al., 2019). Furthermore, operational considerations such as cost, technical competence, and model integration into current agricultural technology are being evaluated at multiple levels (Shafik, 2024; Liakos et al., 2018).</w:t>
      </w:r>
    </w:p>
    <w:p>
      <w:pPr>
        <w:spacing w:after="80" w:before="40"/>
        <w:jc w:val="both"/>
      </w:pPr>
      <w:r>
        <w:rPr>
          <w:rFonts w:ascii="Times New Roman" w:hAnsi="Times New Roman"/>
          <w:b w:val="0"/>
          <w:i w:val="0"/>
          <w:sz w:val="22"/>
        </w:rPr>
        <w:t>This review article intends to present a comprehensive and critical summary of AI-assisted or powered soil health diagnostics. It investigates the present state of AI technology in the field, identifying key difficulties and developing options. The current analysis focuses on peer-reviewed papers published over the last fifteen years that employ AI to diagnose and assess soil health metrics. The major advancements critically reviewed include developments in machine learning algorithms, remote sensing, high resolution spatial and temporal data, neural networks, spectroscopic techniques and IoT-based sensor systems. We also look into field difficulties such as operational, technological and economic constraints as well as future directions to identify priority research areas and opportunities.</w:t>
      </w:r>
    </w:p>
    <w:p>
      <w:pPr>
        <w:spacing w:after="80" w:before="40"/>
        <w:jc w:val="center"/>
      </w:pPr>
      <w:r>
        <w:rPr>
          <w:rFonts w:ascii="Times New Roman" w:hAnsi="Times New Roman"/>
          <w:b w:val="0"/>
          <w:i/>
          <w:sz w:val="22"/>
        </w:rPr>
        <w:t>Figure 1: Summary of AI-enabled soil health diagnostics (SHD), challenges and future directions</w:t>
      </w:r>
    </w:p>
    <w:p>
      <w:pPr>
        <w:pStyle w:val="Heading2"/>
      </w:pPr>
      <w:r>
        <w:rPr>
          <w:rFonts w:ascii="Times New Roman" w:hAnsi="Times New Roman"/>
          <w:b/>
          <w:color w:val="000000"/>
          <w:sz w:val="24"/>
        </w:rPr>
        <w:t>1.1 Motivation and Contribution</w:t>
      </w:r>
    </w:p>
    <w:p>
      <w:pPr>
        <w:spacing w:after="80" w:before="40"/>
        <w:jc w:val="both"/>
      </w:pPr>
      <w:r>
        <w:rPr>
          <w:rFonts w:ascii="Times New Roman" w:hAnsi="Times New Roman"/>
          <w:b w:val="0"/>
          <w:i w:val="0"/>
          <w:sz w:val="22"/>
        </w:rPr>
        <w:t>The rapid proliferation of AI-driven methodologies in soil science has generated a fragmented body of literature spanning machine learning, deep learning, remote sensing, spectroscopy, and IoT-based monitoring. While individual studies have demonstrated promising results, there remains a critical need for a unified, critically analytical synthesis that not only catalogues existing techniques but also evaluates their comparative strengths, limitations, and practical applicability across diverse soil contexts. Existing reviews tend to focus on narrow sub-domains (e.g., spectroscopy alone or ML for SOC prediction), leaving practitioners and researchers without a holistic framework to guide technology selection and deployment decisions.</w:t>
      </w:r>
    </w:p>
    <w:p>
      <w:pPr>
        <w:spacing w:after="80" w:before="40"/>
        <w:jc w:val="both"/>
      </w:pPr>
      <w:r>
        <w:rPr>
          <w:rFonts w:ascii="Times New Roman" w:hAnsi="Times New Roman"/>
          <w:b w:val="0"/>
          <w:i w:val="0"/>
          <w:sz w:val="22"/>
        </w:rPr>
        <w:t>The motivation for this review is therefore threefold. First, the accelerating pace of AI adoption in precision agriculture demands a rigorous, up-to-date synthesis that positions current capabilities against real-world soil diagnostic needs. Second, the persistent challenges of model interpretability, data scarcity, and cross-regional transferability remain inadequately addressed in the literature, necessitating a focused critical analysis. Third, emerging technologies such as explainable AI (XAI), edge computing, and quantum computing are beginning to reshape the landscape of soil diagnostics, yet their implications for soil health monitoring have not been comprehensively evaluated.</w:t>
      </w:r>
    </w:p>
    <w:p>
      <w:pPr>
        <w:spacing w:after="80" w:before="40"/>
        <w:jc w:val="both"/>
      </w:pPr>
      <w:r>
        <w:rPr>
          <w:rFonts w:ascii="Times New Roman" w:hAnsi="Times New Roman"/>
          <w:b w:val="0"/>
          <w:i w:val="0"/>
          <w:sz w:val="22"/>
        </w:rPr>
        <w:t>The principal contributions of this review are as follows: (i) a systematic taxonomy of AI approaches for soil health diagnostics organized by data modality and application domain; (ii) a comparative analysis of this review against prior survey articles to clearly delineate novelty and added value; (iii) quantitative benchmarking summaries of ML/DL model performance across soil properties and datasets; (iv) a critical evaluation of explainable AI techniques — SHAP, LIME, and Grad-CAM — with specific implications for soil diagnostics; (v) a technically specific discussion of spectroscopic preprocessing pipelines including dimensionality reduction methods; (vi) an enhanced research gaps section identifying concrete open problems; and (vii) visual analytics including trend analysis and thematic synthesis to improve interpretability and presentation quality (Sarwar et al., 2024).</w:t>
      </w:r>
    </w:p>
    <w:p>
      <w:pPr>
        <w:pStyle w:val="Heading2"/>
      </w:pPr>
      <w:r>
        <w:rPr>
          <w:rFonts w:ascii="Times New Roman" w:hAnsi="Times New Roman"/>
          <w:b/>
          <w:color w:val="000000"/>
          <w:sz w:val="24"/>
        </w:rPr>
        <w:t>1.2 Systematic Literature Review Methodology (SLR/PRISMA)</w:t>
      </w:r>
    </w:p>
    <w:p>
      <w:pPr>
        <w:spacing w:after="80" w:before="40"/>
        <w:jc w:val="both"/>
      </w:pPr>
      <w:r>
        <w:rPr>
          <w:rFonts w:ascii="Times New Roman" w:hAnsi="Times New Roman"/>
          <w:b w:val="0"/>
          <w:i w:val="0"/>
          <w:sz w:val="22"/>
        </w:rPr>
        <w:t>To ensure a systematic, transparent, and bias-reduced synthesis of existing literature, this review follows the Systematic Literature Review (SLR) framework guided by PRISMA (Preferred Reporting Items for Systematic Reviews and Meta-Analyses) principles. The use of SLR and PRISMA ensures methodological rigor, enhances the credibility of the study, and reduces selection bias in the literature synthesis process (Moher et al., 2009). The search was conducted across Web of Science, Scopus, Google Scholar, and PubMed databases using keyword combinations: 'artificial intelligence AND soil health', 'machine learning AND soil diagnostics', 'deep learning AND soil properties', 'remote sensing AND soil mapping', 'IoT AND soil monitoring', 'explainable AI AND soil science', and 'spectroscopy AND soil prediction'.</w:t>
      </w:r>
    </w:p>
    <w:p>
      <w:pPr>
        <w:spacing w:after="80" w:before="40"/>
        <w:jc w:val="both"/>
      </w:pPr>
      <w:r>
        <w:rPr>
          <w:rFonts w:ascii="Times New Roman" w:hAnsi="Times New Roman"/>
          <w:b w:val="0"/>
          <w:i w:val="0"/>
          <w:sz w:val="22"/>
        </w:rPr>
        <w:t>The inclusion criteria required: (1) peer-reviewed articles published between 2010 and 2025; (2) studies directly applying AI, ML, or DL methods to soil health parameters; (3) studies reporting quantitative performance metrics; and (4) English-language publications. Exclusion criteria eliminated: (1) conference abstracts without full-text availability; (2) studies focused solely on crop yield without soil health metrics; and (3) duplicate publications. The PRISMA screening process yielded a final corpus of approximately 180 peer-reviewed articles for detailed synthesis.</w:t>
      </w:r>
    </w:p>
    <w:tbl>
      <w:tblPr>
        <w:tblStyle w:val="TableGrid"/>
        <w:tblW w:type="auto" w:w="0"/>
        <w:tblLook w:firstColumn="1" w:firstRow="1" w:lastColumn="0" w:lastRow="0" w:noHBand="0" w:noVBand="1" w:val="04A0"/>
      </w:tblPr>
      <w:tblGrid>
        <w:gridCol w:w="2880"/>
        <w:gridCol w:w="2880"/>
        <w:gridCol w:w="2880"/>
      </w:tblGrid>
      <w:tr>
        <w:tc>
          <w:tcPr>
            <w:tcW w:type="dxa" w:w="2880"/>
            <w:shd w:val="clear" w:color="auto" w:fill="D9E1F2"/>
          </w:tcPr>
          <w:p>
            <w:r>
              <w:rPr>
                <w:rFonts w:ascii="Times New Roman" w:hAnsi="Times New Roman"/>
                <w:b/>
                <w:sz w:val="18"/>
              </w:rPr>
              <w:t>PRISMA Stage</w:t>
            </w:r>
          </w:p>
        </w:tc>
        <w:tc>
          <w:tcPr>
            <w:tcW w:type="dxa" w:w="2880"/>
            <w:shd w:val="clear" w:color="auto" w:fill="D9E1F2"/>
          </w:tcPr>
          <w:p>
            <w:r>
              <w:rPr>
                <w:rFonts w:ascii="Times New Roman" w:hAnsi="Times New Roman"/>
                <w:b/>
                <w:sz w:val="18"/>
              </w:rPr>
              <w:t>Records</w:t>
            </w:r>
          </w:p>
        </w:tc>
        <w:tc>
          <w:tcPr>
            <w:tcW w:type="dxa" w:w="2880"/>
            <w:shd w:val="clear" w:color="auto" w:fill="D9E1F2"/>
          </w:tcPr>
          <w:p>
            <w:r>
              <w:rPr>
                <w:rFonts w:ascii="Times New Roman" w:hAnsi="Times New Roman"/>
                <w:b/>
                <w:sz w:val="18"/>
              </w:rPr>
              <w:t>Notes</w:t>
            </w:r>
          </w:p>
        </w:tc>
      </w:tr>
      <w:tr>
        <w:tc>
          <w:tcPr>
            <w:tcW w:type="dxa" w:w="2880"/>
          </w:tcPr>
          <w:p>
            <w:r>
              <w:rPr>
                <w:rFonts w:ascii="Times New Roman" w:hAnsi="Times New Roman"/>
                <w:sz w:val="18"/>
              </w:rPr>
              <w:t>Initial database search</w:t>
            </w:r>
          </w:p>
        </w:tc>
        <w:tc>
          <w:tcPr>
            <w:tcW w:type="dxa" w:w="2880"/>
          </w:tcPr>
          <w:p>
            <w:r>
              <w:rPr>
                <w:rFonts w:ascii="Times New Roman" w:hAnsi="Times New Roman"/>
                <w:sz w:val="18"/>
              </w:rPr>
              <w:t>~1,240</w:t>
            </w:r>
          </w:p>
        </w:tc>
        <w:tc>
          <w:tcPr>
            <w:tcW w:type="dxa" w:w="2880"/>
          </w:tcPr>
          <w:p>
            <w:r>
              <w:rPr>
                <w:rFonts w:ascii="Times New Roman" w:hAnsi="Times New Roman"/>
                <w:sz w:val="18"/>
              </w:rPr>
              <w:t>Web of Science, Scopus, Google Scholar, PubMed</w:t>
            </w:r>
          </w:p>
        </w:tc>
      </w:tr>
      <w:tr>
        <w:tc>
          <w:tcPr>
            <w:tcW w:type="dxa" w:w="2880"/>
          </w:tcPr>
          <w:p>
            <w:r>
              <w:rPr>
                <w:rFonts w:ascii="Times New Roman" w:hAnsi="Times New Roman"/>
                <w:sz w:val="18"/>
              </w:rPr>
              <w:t>After duplicate removal</w:t>
            </w:r>
          </w:p>
        </w:tc>
        <w:tc>
          <w:tcPr>
            <w:tcW w:type="dxa" w:w="2880"/>
          </w:tcPr>
          <w:p>
            <w:r>
              <w:rPr>
                <w:rFonts w:ascii="Times New Roman" w:hAnsi="Times New Roman"/>
                <w:sz w:val="18"/>
              </w:rPr>
              <w:t>~890</w:t>
            </w:r>
          </w:p>
        </w:tc>
        <w:tc>
          <w:tcPr>
            <w:tcW w:type="dxa" w:w="2880"/>
          </w:tcPr>
          <w:p>
            <w:r>
              <w:rPr>
                <w:rFonts w:ascii="Times New Roman" w:hAnsi="Times New Roman"/>
                <w:sz w:val="18"/>
              </w:rPr>
              <w:t>Automated deduplication</w:t>
            </w:r>
          </w:p>
        </w:tc>
      </w:tr>
      <w:tr>
        <w:tc>
          <w:tcPr>
            <w:tcW w:type="dxa" w:w="2880"/>
          </w:tcPr>
          <w:p>
            <w:r>
              <w:rPr>
                <w:rFonts w:ascii="Times New Roman" w:hAnsi="Times New Roman"/>
                <w:sz w:val="18"/>
              </w:rPr>
              <w:t>Title/Abstract screening</w:t>
            </w:r>
          </w:p>
        </w:tc>
        <w:tc>
          <w:tcPr>
            <w:tcW w:type="dxa" w:w="2880"/>
          </w:tcPr>
          <w:p>
            <w:r>
              <w:rPr>
                <w:rFonts w:ascii="Times New Roman" w:hAnsi="Times New Roman"/>
                <w:sz w:val="18"/>
              </w:rPr>
              <w:t>~420</w:t>
            </w:r>
          </w:p>
        </w:tc>
        <w:tc>
          <w:tcPr>
            <w:tcW w:type="dxa" w:w="2880"/>
          </w:tcPr>
          <w:p>
            <w:r>
              <w:rPr>
                <w:rFonts w:ascii="Times New Roman" w:hAnsi="Times New Roman"/>
                <w:sz w:val="18"/>
              </w:rPr>
              <w:t>Relevance to AI + soil health</w:t>
            </w:r>
          </w:p>
        </w:tc>
      </w:tr>
      <w:tr>
        <w:tc>
          <w:tcPr>
            <w:tcW w:type="dxa" w:w="2880"/>
          </w:tcPr>
          <w:p>
            <w:r>
              <w:rPr>
                <w:rFonts w:ascii="Times New Roman" w:hAnsi="Times New Roman"/>
                <w:sz w:val="18"/>
              </w:rPr>
              <w:t>Full-text eligibility assessment</w:t>
            </w:r>
          </w:p>
        </w:tc>
        <w:tc>
          <w:tcPr>
            <w:tcW w:type="dxa" w:w="2880"/>
          </w:tcPr>
          <w:p>
            <w:r>
              <w:rPr>
                <w:rFonts w:ascii="Times New Roman" w:hAnsi="Times New Roman"/>
                <w:sz w:val="18"/>
              </w:rPr>
              <w:t>~220</w:t>
            </w:r>
          </w:p>
        </w:tc>
        <w:tc>
          <w:tcPr>
            <w:tcW w:type="dxa" w:w="2880"/>
          </w:tcPr>
          <w:p>
            <w:r>
              <w:rPr>
                <w:rFonts w:ascii="Times New Roman" w:hAnsi="Times New Roman"/>
                <w:sz w:val="18"/>
              </w:rPr>
              <w:t>Quantitative metrics required</w:t>
            </w:r>
          </w:p>
        </w:tc>
      </w:tr>
      <w:tr>
        <w:tc>
          <w:tcPr>
            <w:tcW w:type="dxa" w:w="2880"/>
          </w:tcPr>
          <w:p>
            <w:r>
              <w:rPr>
                <w:rFonts w:ascii="Times New Roman" w:hAnsi="Times New Roman"/>
                <w:sz w:val="18"/>
              </w:rPr>
              <w:t>Final included studies</w:t>
            </w:r>
          </w:p>
        </w:tc>
        <w:tc>
          <w:tcPr>
            <w:tcW w:type="dxa" w:w="2880"/>
          </w:tcPr>
          <w:p>
            <w:r>
              <w:rPr>
                <w:rFonts w:ascii="Times New Roman" w:hAnsi="Times New Roman"/>
                <w:sz w:val="18"/>
              </w:rPr>
              <w:t>~180</w:t>
            </w:r>
          </w:p>
        </w:tc>
        <w:tc>
          <w:tcPr>
            <w:tcW w:type="dxa" w:w="2880"/>
          </w:tcPr>
          <w:p>
            <w:r>
              <w:rPr>
                <w:rFonts w:ascii="Times New Roman" w:hAnsi="Times New Roman"/>
                <w:sz w:val="18"/>
              </w:rPr>
              <w:t>2010–2025, peer-reviewed</w:t>
            </w:r>
          </w:p>
        </w:tc>
      </w:tr>
    </w:tbl>
    <w:p>
      <w:pPr>
        <w:jc w:val="center"/>
      </w:pPr>
      <w:r>
        <w:rPr>
          <w:rFonts w:ascii="Times New Roman" w:hAnsi="Times New Roman"/>
          <w:i/>
          <w:sz w:val="18"/>
        </w:rPr>
        <w:t>Table 1: PRISMA screening summary for the systematic literature review.</w:t>
      </w:r>
    </w:p>
    <w:p/>
    <w:p>
      <w:pPr>
        <w:pStyle w:val="Heading2"/>
      </w:pPr>
      <w:r>
        <w:rPr>
          <w:rFonts w:ascii="Times New Roman" w:hAnsi="Times New Roman"/>
          <w:b/>
          <w:color w:val="000000"/>
          <w:sz w:val="24"/>
        </w:rPr>
        <w:t>1.3 Comparative Analysis with Existing Survey Articles</w:t>
      </w:r>
    </w:p>
    <w:p>
      <w:pPr>
        <w:spacing w:after="80" w:before="40"/>
        <w:jc w:val="both"/>
      </w:pPr>
      <w:r>
        <w:rPr>
          <w:rFonts w:ascii="Times New Roman" w:hAnsi="Times New Roman"/>
          <w:b w:val="0"/>
          <w:i w:val="0"/>
          <w:sz w:val="22"/>
        </w:rPr>
        <w:t>To clearly position the novelty and added value of this review, Table 2 provides a comparative analysis against key existing survey and review articles in the domain of AI-driven soil diagnostics. Prior reviews have addressed specific sub-domains but none has provided the integrated, multi-modal, critically analytical synthesis offered by the present work. This comparison directly addresses the requirement for review papers to position their contribution relative to prior surveys, making the novelty and added value of this work explicit.</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shd w:val="clear" w:color="auto" w:fill="D9E1F2"/>
          </w:tcPr>
          <w:p>
            <w:r>
              <w:rPr>
                <w:rFonts w:ascii="Times New Roman" w:hAnsi="Times New Roman"/>
                <w:b/>
                <w:sz w:val="18"/>
              </w:rPr>
              <w:t>Reference</w:t>
            </w:r>
          </w:p>
        </w:tc>
        <w:tc>
          <w:tcPr>
            <w:tcW w:type="dxa" w:w="1080"/>
            <w:shd w:val="clear" w:color="auto" w:fill="D9E1F2"/>
          </w:tcPr>
          <w:p>
            <w:r>
              <w:rPr>
                <w:rFonts w:ascii="Times New Roman" w:hAnsi="Times New Roman"/>
                <w:b/>
                <w:sz w:val="18"/>
              </w:rPr>
              <w:t>Focus Area</w:t>
            </w:r>
          </w:p>
        </w:tc>
        <w:tc>
          <w:tcPr>
            <w:tcW w:type="dxa" w:w="1080"/>
            <w:shd w:val="clear" w:color="auto" w:fill="D9E1F2"/>
          </w:tcPr>
          <w:p>
            <w:r>
              <w:rPr>
                <w:rFonts w:ascii="Times New Roman" w:hAnsi="Times New Roman"/>
                <w:b/>
                <w:sz w:val="18"/>
              </w:rPr>
              <w:t>XAI Coverage</w:t>
            </w:r>
          </w:p>
        </w:tc>
        <w:tc>
          <w:tcPr>
            <w:tcW w:type="dxa" w:w="1080"/>
            <w:shd w:val="clear" w:color="auto" w:fill="D9E1F2"/>
          </w:tcPr>
          <w:p>
            <w:r>
              <w:rPr>
                <w:rFonts w:ascii="Times New Roman" w:hAnsi="Times New Roman"/>
                <w:b/>
                <w:sz w:val="18"/>
              </w:rPr>
              <w:t>Spectroscopy Pipeline</w:t>
            </w:r>
          </w:p>
        </w:tc>
        <w:tc>
          <w:tcPr>
            <w:tcW w:type="dxa" w:w="1080"/>
            <w:shd w:val="clear" w:color="auto" w:fill="D9E1F2"/>
          </w:tcPr>
          <w:p>
            <w:r>
              <w:rPr>
                <w:rFonts w:ascii="Times New Roman" w:hAnsi="Times New Roman"/>
                <w:b/>
                <w:sz w:val="18"/>
              </w:rPr>
              <w:t>IoT</w:t>
            </w:r>
          </w:p>
        </w:tc>
        <w:tc>
          <w:tcPr>
            <w:tcW w:type="dxa" w:w="1080"/>
            <w:shd w:val="clear" w:color="auto" w:fill="D9E1F2"/>
          </w:tcPr>
          <w:p>
            <w:r>
              <w:rPr>
                <w:rFonts w:ascii="Times New Roman" w:hAnsi="Times New Roman"/>
                <w:b/>
                <w:sz w:val="18"/>
              </w:rPr>
              <w:t>Taxonomy</w:t>
            </w:r>
          </w:p>
        </w:tc>
        <w:tc>
          <w:tcPr>
            <w:tcW w:type="dxa" w:w="1080"/>
            <w:shd w:val="clear" w:color="auto" w:fill="D9E1F2"/>
          </w:tcPr>
          <w:p>
            <w:r>
              <w:rPr>
                <w:rFonts w:ascii="Times New Roman" w:hAnsi="Times New Roman"/>
                <w:b/>
                <w:sz w:val="18"/>
              </w:rPr>
              <w:t>Quant. Benchmarks</w:t>
            </w:r>
          </w:p>
        </w:tc>
        <w:tc>
          <w:tcPr>
            <w:tcW w:type="dxa" w:w="1080"/>
            <w:shd w:val="clear" w:color="auto" w:fill="D9E1F2"/>
          </w:tcPr>
          <w:p>
            <w:r>
              <w:rPr>
                <w:rFonts w:ascii="Times New Roman" w:hAnsi="Times New Roman"/>
                <w:b/>
                <w:sz w:val="18"/>
              </w:rPr>
              <w:t>Gap Addressed Here</w:t>
            </w:r>
          </w:p>
        </w:tc>
      </w:tr>
      <w:tr>
        <w:tc>
          <w:tcPr>
            <w:tcW w:type="dxa" w:w="1080"/>
          </w:tcPr>
          <w:p>
            <w:r>
              <w:rPr>
                <w:rFonts w:ascii="Times New Roman" w:hAnsi="Times New Roman"/>
                <w:sz w:val="18"/>
              </w:rPr>
              <w:t>Padarian et al. (2020)</w:t>
            </w:r>
          </w:p>
        </w:tc>
        <w:tc>
          <w:tcPr>
            <w:tcW w:type="dxa" w:w="1080"/>
          </w:tcPr>
          <w:p>
            <w:r>
              <w:rPr>
                <w:rFonts w:ascii="Times New Roman" w:hAnsi="Times New Roman"/>
                <w:sz w:val="18"/>
              </w:rPr>
              <w:t>ML for soil mapping</w:t>
            </w:r>
          </w:p>
        </w:tc>
        <w:tc>
          <w:tcPr>
            <w:tcW w:type="dxa" w:w="1080"/>
          </w:tcPr>
          <w:p>
            <w:r>
              <w:rPr>
                <w:rFonts w:ascii="Times New Roman" w:hAnsi="Times New Roman"/>
                <w:sz w:val="18"/>
              </w:rPr>
              <w:t>Minimal</w:t>
            </w:r>
          </w:p>
        </w:tc>
        <w:tc>
          <w:tcPr>
            <w:tcW w:type="dxa" w:w="1080"/>
          </w:tcPr>
          <w:p>
            <w:r>
              <w:rPr>
                <w:rFonts w:ascii="Times New Roman" w:hAnsi="Times New Roman"/>
                <w:sz w:val="18"/>
              </w:rPr>
              <w:t>Partial</w:t>
            </w:r>
          </w:p>
        </w:tc>
        <w:tc>
          <w:tcPr>
            <w:tcW w:type="dxa" w:w="1080"/>
          </w:tcPr>
          <w:p>
            <w:r>
              <w:rPr>
                <w:rFonts w:ascii="Times New Roman" w:hAnsi="Times New Roman"/>
                <w:sz w:val="18"/>
              </w:rPr>
              <w:t>No</w:t>
            </w:r>
          </w:p>
        </w:tc>
        <w:tc>
          <w:tcPr>
            <w:tcW w:type="dxa" w:w="1080"/>
          </w:tcPr>
          <w:p>
            <w:r>
              <w:rPr>
                <w:rFonts w:ascii="Times New Roman" w:hAnsi="Times New Roman"/>
                <w:sz w:val="18"/>
              </w:rPr>
              <w:t>No</w:t>
            </w:r>
          </w:p>
        </w:tc>
        <w:tc>
          <w:tcPr>
            <w:tcW w:type="dxa" w:w="1080"/>
          </w:tcPr>
          <w:p>
            <w:r>
              <w:rPr>
                <w:rFonts w:ascii="Times New Roman" w:hAnsi="Times New Roman"/>
                <w:sz w:val="18"/>
              </w:rPr>
              <w:t>Partial</w:t>
            </w:r>
          </w:p>
        </w:tc>
        <w:tc>
          <w:tcPr>
            <w:tcW w:type="dxa" w:w="1080"/>
          </w:tcPr>
          <w:p>
            <w:r>
              <w:rPr>
                <w:rFonts w:ascii="Times New Roman" w:hAnsi="Times New Roman"/>
                <w:sz w:val="18"/>
              </w:rPr>
              <w:t>No XAI, no IoT, no taxonomy</w:t>
            </w:r>
          </w:p>
        </w:tc>
      </w:tr>
      <w:tr>
        <w:tc>
          <w:tcPr>
            <w:tcW w:type="dxa" w:w="1080"/>
          </w:tcPr>
          <w:p>
            <w:r>
              <w:rPr>
                <w:rFonts w:ascii="Times New Roman" w:hAnsi="Times New Roman"/>
                <w:sz w:val="18"/>
              </w:rPr>
              <w:t>Wadoux et al. (2020)</w:t>
            </w:r>
          </w:p>
        </w:tc>
        <w:tc>
          <w:tcPr>
            <w:tcW w:type="dxa" w:w="1080"/>
          </w:tcPr>
          <w:p>
            <w:r>
              <w:rPr>
                <w:rFonts w:ascii="Times New Roman" w:hAnsi="Times New Roman"/>
                <w:sz w:val="18"/>
              </w:rPr>
              <w:t>Digital soil mapping</w:t>
            </w:r>
          </w:p>
        </w:tc>
        <w:tc>
          <w:tcPr>
            <w:tcW w:type="dxa" w:w="1080"/>
          </w:tcPr>
          <w:p>
            <w:r>
              <w:rPr>
                <w:rFonts w:ascii="Times New Roman" w:hAnsi="Times New Roman"/>
                <w:sz w:val="18"/>
              </w:rPr>
              <w:t>No</w:t>
            </w:r>
          </w:p>
        </w:tc>
        <w:tc>
          <w:tcPr>
            <w:tcW w:type="dxa" w:w="1080"/>
          </w:tcPr>
          <w:p>
            <w:r>
              <w:rPr>
                <w:rFonts w:ascii="Times New Roman" w:hAnsi="Times New Roman"/>
                <w:sz w:val="18"/>
              </w:rPr>
              <w:t>No</w:t>
            </w:r>
          </w:p>
        </w:tc>
        <w:tc>
          <w:tcPr>
            <w:tcW w:type="dxa" w:w="1080"/>
          </w:tcPr>
          <w:p>
            <w:r>
              <w:rPr>
                <w:rFonts w:ascii="Times New Roman" w:hAnsi="Times New Roman"/>
                <w:sz w:val="18"/>
              </w:rPr>
              <w:t>No</w:t>
            </w:r>
          </w:p>
        </w:tc>
        <w:tc>
          <w:tcPr>
            <w:tcW w:type="dxa" w:w="1080"/>
          </w:tcPr>
          <w:p>
            <w:r>
              <w:rPr>
                <w:rFonts w:ascii="Times New Roman" w:hAnsi="Times New Roman"/>
                <w:sz w:val="18"/>
              </w:rPr>
              <w:t>No</w:t>
            </w:r>
          </w:p>
        </w:tc>
        <w:tc>
          <w:tcPr>
            <w:tcW w:type="dxa" w:w="1080"/>
          </w:tcPr>
          <w:p>
            <w:r>
              <w:rPr>
                <w:rFonts w:ascii="Times New Roman" w:hAnsi="Times New Roman"/>
                <w:sz w:val="18"/>
              </w:rPr>
              <w:t>Partial</w:t>
            </w:r>
          </w:p>
        </w:tc>
        <w:tc>
          <w:tcPr>
            <w:tcW w:type="dxa" w:w="1080"/>
          </w:tcPr>
          <w:p>
            <w:r>
              <w:rPr>
                <w:rFonts w:ascii="Times New Roman" w:hAnsi="Times New Roman"/>
                <w:sz w:val="18"/>
              </w:rPr>
              <w:t>No DL depth, no XAI</w:t>
            </w:r>
          </w:p>
        </w:tc>
      </w:tr>
      <w:tr>
        <w:tc>
          <w:tcPr>
            <w:tcW w:type="dxa" w:w="1080"/>
          </w:tcPr>
          <w:p>
            <w:r>
              <w:rPr>
                <w:rFonts w:ascii="Times New Roman" w:hAnsi="Times New Roman"/>
                <w:sz w:val="18"/>
              </w:rPr>
              <w:t>Nocita et al. (2015)</w:t>
            </w:r>
          </w:p>
        </w:tc>
        <w:tc>
          <w:tcPr>
            <w:tcW w:type="dxa" w:w="1080"/>
          </w:tcPr>
          <w:p>
            <w:r>
              <w:rPr>
                <w:rFonts w:ascii="Times New Roman" w:hAnsi="Times New Roman"/>
                <w:sz w:val="18"/>
              </w:rPr>
              <w:t>Soil spectroscopy</w:t>
            </w:r>
          </w:p>
        </w:tc>
        <w:tc>
          <w:tcPr>
            <w:tcW w:type="dxa" w:w="1080"/>
          </w:tcPr>
          <w:p>
            <w:r>
              <w:rPr>
                <w:rFonts w:ascii="Times New Roman" w:hAnsi="Times New Roman"/>
                <w:sz w:val="18"/>
              </w:rPr>
              <w:t>No</w:t>
            </w:r>
          </w:p>
        </w:tc>
        <w:tc>
          <w:tcPr>
            <w:tcW w:type="dxa" w:w="1080"/>
          </w:tcPr>
          <w:p>
            <w:r>
              <w:rPr>
                <w:rFonts w:ascii="Times New Roman" w:hAnsi="Times New Roman"/>
                <w:sz w:val="18"/>
              </w:rPr>
              <w:t>Partial</w:t>
            </w:r>
          </w:p>
        </w:tc>
        <w:tc>
          <w:tcPr>
            <w:tcW w:type="dxa" w:w="1080"/>
          </w:tcPr>
          <w:p>
            <w:r>
              <w:rPr>
                <w:rFonts w:ascii="Times New Roman" w:hAnsi="Times New Roman"/>
                <w:sz w:val="18"/>
              </w:rPr>
              <w:t>No</w:t>
            </w:r>
          </w:p>
        </w:tc>
        <w:tc>
          <w:tcPr>
            <w:tcW w:type="dxa" w:w="1080"/>
          </w:tcPr>
          <w:p>
            <w:r>
              <w:rPr>
                <w:rFonts w:ascii="Times New Roman" w:hAnsi="Times New Roman"/>
                <w:sz w:val="18"/>
              </w:rPr>
              <w:t>No</w:t>
            </w:r>
          </w:p>
        </w:tc>
        <w:tc>
          <w:tcPr>
            <w:tcW w:type="dxa" w:w="1080"/>
          </w:tcPr>
          <w:p>
            <w:r>
              <w:rPr>
                <w:rFonts w:ascii="Times New Roman" w:hAnsi="Times New Roman"/>
                <w:sz w:val="18"/>
              </w:rPr>
              <w:t>Partial</w:t>
            </w:r>
          </w:p>
        </w:tc>
        <w:tc>
          <w:tcPr>
            <w:tcW w:type="dxa" w:w="1080"/>
          </w:tcPr>
          <w:p>
            <w:r>
              <w:rPr>
                <w:rFonts w:ascii="Times New Roman" w:hAnsi="Times New Roman"/>
                <w:sz w:val="18"/>
              </w:rPr>
              <w:t>Outdated, no ML/DL</w:t>
            </w:r>
          </w:p>
        </w:tc>
      </w:tr>
      <w:tr>
        <w:tc>
          <w:tcPr>
            <w:tcW w:type="dxa" w:w="1080"/>
          </w:tcPr>
          <w:p>
            <w:r>
              <w:rPr>
                <w:rFonts w:ascii="Times New Roman" w:hAnsi="Times New Roman"/>
                <w:sz w:val="18"/>
              </w:rPr>
              <w:t>Abdulraheem et al. (2023)</w:t>
            </w:r>
          </w:p>
        </w:tc>
        <w:tc>
          <w:tcPr>
            <w:tcW w:type="dxa" w:w="1080"/>
          </w:tcPr>
          <w:p>
            <w:r>
              <w:rPr>
                <w:rFonts w:ascii="Times New Roman" w:hAnsi="Times New Roman"/>
                <w:sz w:val="18"/>
              </w:rPr>
              <w:t>Remote sensing</w:t>
            </w:r>
          </w:p>
        </w:tc>
        <w:tc>
          <w:tcPr>
            <w:tcW w:type="dxa" w:w="1080"/>
          </w:tcPr>
          <w:p>
            <w:r>
              <w:rPr>
                <w:rFonts w:ascii="Times New Roman" w:hAnsi="Times New Roman"/>
                <w:sz w:val="18"/>
              </w:rPr>
              <w:t>No</w:t>
            </w:r>
          </w:p>
        </w:tc>
        <w:tc>
          <w:tcPr>
            <w:tcW w:type="dxa" w:w="1080"/>
          </w:tcPr>
          <w:p>
            <w:r>
              <w:rPr>
                <w:rFonts w:ascii="Times New Roman" w:hAnsi="Times New Roman"/>
                <w:sz w:val="18"/>
              </w:rPr>
              <w:t>No</w:t>
            </w:r>
          </w:p>
        </w:tc>
        <w:tc>
          <w:tcPr>
            <w:tcW w:type="dxa" w:w="1080"/>
          </w:tcPr>
          <w:p>
            <w:r>
              <w:rPr>
                <w:rFonts w:ascii="Times New Roman" w:hAnsi="Times New Roman"/>
                <w:sz w:val="18"/>
              </w:rPr>
              <w:t>Partial</w:t>
            </w:r>
          </w:p>
        </w:tc>
        <w:tc>
          <w:tcPr>
            <w:tcW w:type="dxa" w:w="1080"/>
          </w:tcPr>
          <w:p>
            <w:r>
              <w:rPr>
                <w:rFonts w:ascii="Times New Roman" w:hAnsi="Times New Roman"/>
                <w:sz w:val="18"/>
              </w:rPr>
              <w:t>No</w:t>
            </w:r>
          </w:p>
        </w:tc>
        <w:tc>
          <w:tcPr>
            <w:tcW w:type="dxa" w:w="1080"/>
          </w:tcPr>
          <w:p>
            <w:r>
              <w:rPr>
                <w:rFonts w:ascii="Times New Roman" w:hAnsi="Times New Roman"/>
                <w:sz w:val="18"/>
              </w:rPr>
              <w:t>No</w:t>
            </w:r>
          </w:p>
        </w:tc>
        <w:tc>
          <w:tcPr>
            <w:tcW w:type="dxa" w:w="1080"/>
          </w:tcPr>
          <w:p>
            <w:r>
              <w:rPr>
                <w:rFonts w:ascii="Times New Roman" w:hAnsi="Times New Roman"/>
                <w:sz w:val="18"/>
              </w:rPr>
              <w:t>No XAI, no spectral pipeline</w:t>
            </w:r>
          </w:p>
        </w:tc>
      </w:tr>
      <w:tr>
        <w:tc>
          <w:tcPr>
            <w:tcW w:type="dxa" w:w="1080"/>
          </w:tcPr>
          <w:p>
            <w:r>
              <w:rPr>
                <w:rFonts w:ascii="Times New Roman" w:hAnsi="Times New Roman"/>
                <w:sz w:val="18"/>
              </w:rPr>
              <w:t>Fan et al. (2022)</w:t>
            </w:r>
          </w:p>
        </w:tc>
        <w:tc>
          <w:tcPr>
            <w:tcW w:type="dxa" w:w="1080"/>
          </w:tcPr>
          <w:p>
            <w:r>
              <w:rPr>
                <w:rFonts w:ascii="Times New Roman" w:hAnsi="Times New Roman"/>
                <w:sz w:val="18"/>
              </w:rPr>
              <w:t>Real-time monitoring</w:t>
            </w:r>
          </w:p>
        </w:tc>
        <w:tc>
          <w:tcPr>
            <w:tcW w:type="dxa" w:w="1080"/>
          </w:tcPr>
          <w:p>
            <w:r>
              <w:rPr>
                <w:rFonts w:ascii="Times New Roman" w:hAnsi="Times New Roman"/>
                <w:sz w:val="18"/>
              </w:rPr>
              <w:t>No</w:t>
            </w:r>
          </w:p>
        </w:tc>
        <w:tc>
          <w:tcPr>
            <w:tcW w:type="dxa" w:w="1080"/>
          </w:tcPr>
          <w:p>
            <w:r>
              <w:rPr>
                <w:rFonts w:ascii="Times New Roman" w:hAnsi="Times New Roman"/>
                <w:sz w:val="18"/>
              </w:rPr>
              <w:t>No</w:t>
            </w:r>
          </w:p>
        </w:tc>
        <w:tc>
          <w:tcPr>
            <w:tcW w:type="dxa" w:w="1080"/>
          </w:tcPr>
          <w:p>
            <w:r>
              <w:rPr>
                <w:rFonts w:ascii="Times New Roman" w:hAnsi="Times New Roman"/>
                <w:sz w:val="18"/>
              </w:rPr>
              <w:t>Yes</w:t>
            </w:r>
          </w:p>
        </w:tc>
        <w:tc>
          <w:tcPr>
            <w:tcW w:type="dxa" w:w="1080"/>
          </w:tcPr>
          <w:p>
            <w:r>
              <w:rPr>
                <w:rFonts w:ascii="Times New Roman" w:hAnsi="Times New Roman"/>
                <w:sz w:val="18"/>
              </w:rPr>
              <w:t>No</w:t>
            </w:r>
          </w:p>
        </w:tc>
        <w:tc>
          <w:tcPr>
            <w:tcW w:type="dxa" w:w="1080"/>
          </w:tcPr>
          <w:p>
            <w:r>
              <w:rPr>
                <w:rFonts w:ascii="Times New Roman" w:hAnsi="Times New Roman"/>
                <w:sz w:val="18"/>
              </w:rPr>
              <w:t>No</w:t>
            </w:r>
          </w:p>
        </w:tc>
        <w:tc>
          <w:tcPr>
            <w:tcW w:type="dxa" w:w="1080"/>
          </w:tcPr>
          <w:p>
            <w:r>
              <w:rPr>
                <w:rFonts w:ascii="Times New Roman" w:hAnsi="Times New Roman"/>
                <w:sz w:val="18"/>
              </w:rPr>
              <w:t>No ML depth, no XAI</w:t>
            </w:r>
          </w:p>
        </w:tc>
      </w:tr>
      <w:tr>
        <w:tc>
          <w:tcPr>
            <w:tcW w:type="dxa" w:w="1080"/>
          </w:tcPr>
          <w:p>
            <w:r>
              <w:rPr>
                <w:rFonts w:ascii="Times New Roman" w:hAnsi="Times New Roman"/>
                <w:sz w:val="18"/>
              </w:rPr>
              <w:t>Minasny &amp; McBratney (2025)</w:t>
            </w:r>
          </w:p>
        </w:tc>
        <w:tc>
          <w:tcPr>
            <w:tcW w:type="dxa" w:w="1080"/>
          </w:tcPr>
          <w:p>
            <w:r>
              <w:rPr>
                <w:rFonts w:ascii="Times New Roman" w:hAnsi="Times New Roman"/>
                <w:sz w:val="18"/>
              </w:rPr>
              <w:t>ML/AI in soil science</w:t>
            </w:r>
          </w:p>
        </w:tc>
        <w:tc>
          <w:tcPr>
            <w:tcW w:type="dxa" w:w="1080"/>
          </w:tcPr>
          <w:p>
            <w:r>
              <w:rPr>
                <w:rFonts w:ascii="Times New Roman" w:hAnsi="Times New Roman"/>
                <w:sz w:val="18"/>
              </w:rPr>
              <w:t>Minimal</w:t>
            </w:r>
          </w:p>
        </w:tc>
        <w:tc>
          <w:tcPr>
            <w:tcW w:type="dxa" w:w="1080"/>
          </w:tcPr>
          <w:p>
            <w:r>
              <w:rPr>
                <w:rFonts w:ascii="Times New Roman" w:hAnsi="Times New Roman"/>
                <w:sz w:val="18"/>
              </w:rPr>
              <w:t>Partial</w:t>
            </w:r>
          </w:p>
        </w:tc>
        <w:tc>
          <w:tcPr>
            <w:tcW w:type="dxa" w:w="1080"/>
          </w:tcPr>
          <w:p>
            <w:r>
              <w:rPr>
                <w:rFonts w:ascii="Times New Roman" w:hAnsi="Times New Roman"/>
                <w:sz w:val="18"/>
              </w:rPr>
              <w:t>No</w:t>
            </w:r>
          </w:p>
        </w:tc>
        <w:tc>
          <w:tcPr>
            <w:tcW w:type="dxa" w:w="1080"/>
          </w:tcPr>
          <w:p>
            <w:r>
              <w:rPr>
                <w:rFonts w:ascii="Times New Roman" w:hAnsi="Times New Roman"/>
                <w:sz w:val="18"/>
              </w:rPr>
              <w:t>No</w:t>
            </w:r>
          </w:p>
        </w:tc>
        <w:tc>
          <w:tcPr>
            <w:tcW w:type="dxa" w:w="1080"/>
          </w:tcPr>
          <w:p>
            <w:r>
              <w:rPr>
                <w:rFonts w:ascii="Times New Roman" w:hAnsi="Times New Roman"/>
                <w:sz w:val="18"/>
              </w:rPr>
              <w:t>Partial</w:t>
            </w:r>
          </w:p>
        </w:tc>
        <w:tc>
          <w:tcPr>
            <w:tcW w:type="dxa" w:w="1080"/>
          </w:tcPr>
          <w:p>
            <w:r>
              <w:rPr>
                <w:rFonts w:ascii="Times New Roman" w:hAnsi="Times New Roman"/>
                <w:sz w:val="18"/>
              </w:rPr>
              <w:t>No IoT, no XAI depth</w:t>
            </w:r>
          </w:p>
        </w:tc>
      </w:tr>
      <w:tr>
        <w:tc>
          <w:tcPr>
            <w:tcW w:type="dxa" w:w="1080"/>
          </w:tcPr>
          <w:p>
            <w:r>
              <w:rPr>
                <w:rFonts w:ascii="Times New Roman" w:hAnsi="Times New Roman"/>
                <w:sz w:val="18"/>
              </w:rPr>
              <w:t>Present Review</w:t>
            </w:r>
          </w:p>
        </w:tc>
        <w:tc>
          <w:tcPr>
            <w:tcW w:type="dxa" w:w="1080"/>
          </w:tcPr>
          <w:p>
            <w:r>
              <w:rPr>
                <w:rFonts w:ascii="Times New Roman" w:hAnsi="Times New Roman"/>
                <w:sz w:val="18"/>
              </w:rPr>
              <w:t>Integrated AI-SHD</w:t>
            </w:r>
          </w:p>
        </w:tc>
        <w:tc>
          <w:tcPr>
            <w:tcW w:type="dxa" w:w="1080"/>
          </w:tcPr>
          <w:p>
            <w:r>
              <w:rPr>
                <w:rFonts w:ascii="Times New Roman" w:hAnsi="Times New Roman"/>
                <w:sz w:val="18"/>
              </w:rPr>
              <w:t>SHAP+LIME+GradCAM</w:t>
            </w:r>
          </w:p>
        </w:tc>
        <w:tc>
          <w:tcPr>
            <w:tcW w:type="dxa" w:w="1080"/>
          </w:tcPr>
          <w:p>
            <w:r>
              <w:rPr>
                <w:rFonts w:ascii="Times New Roman" w:hAnsi="Times New Roman"/>
                <w:sz w:val="18"/>
              </w:rPr>
              <w:t>Full pipeline</w:t>
            </w:r>
          </w:p>
        </w:tc>
        <w:tc>
          <w:tcPr>
            <w:tcW w:type="dxa" w:w="1080"/>
          </w:tcPr>
          <w:p>
            <w:r>
              <w:rPr>
                <w:rFonts w:ascii="Times New Roman" w:hAnsi="Times New Roman"/>
                <w:sz w:val="18"/>
              </w:rPr>
              <w:t>Yes</w:t>
            </w:r>
          </w:p>
        </w:tc>
        <w:tc>
          <w:tcPr>
            <w:tcW w:type="dxa" w:w="1080"/>
          </w:tcPr>
          <w:p>
            <w:r>
              <w:rPr>
                <w:rFonts w:ascii="Times New Roman" w:hAnsi="Times New Roman"/>
                <w:sz w:val="18"/>
              </w:rPr>
              <w:t>Yes</w:t>
            </w:r>
          </w:p>
        </w:tc>
        <w:tc>
          <w:tcPr>
            <w:tcW w:type="dxa" w:w="1080"/>
          </w:tcPr>
          <w:p>
            <w:r>
              <w:rPr>
                <w:rFonts w:ascii="Times New Roman" w:hAnsi="Times New Roman"/>
                <w:sz w:val="18"/>
              </w:rPr>
              <w:t>Yes</w:t>
            </w:r>
          </w:p>
        </w:tc>
        <w:tc>
          <w:tcPr>
            <w:tcW w:type="dxa" w:w="1080"/>
          </w:tcPr>
          <w:p>
            <w:r>
              <w:rPr>
                <w:rFonts w:ascii="Times New Roman" w:hAnsi="Times New Roman"/>
                <w:sz w:val="18"/>
              </w:rPr>
              <w:t>Comprehensive synthesis</w:t>
            </w:r>
          </w:p>
        </w:tc>
      </w:tr>
    </w:tbl>
    <w:p>
      <w:pPr>
        <w:jc w:val="center"/>
      </w:pPr>
      <w:r>
        <w:rPr>
          <w:rFonts w:ascii="Times New Roman" w:hAnsi="Times New Roman"/>
          <w:i/>
          <w:sz w:val="18"/>
        </w:rPr>
        <w:t>Table 2: Comparative analysis of the present review against existing survey articles. XAI = Explainable AI; AI-SHD = AI-driven Soil Health Diagnostics.</w:t>
      </w:r>
    </w:p>
    <w:p/>
    <w:p>
      <w:pPr>
        <w:pStyle w:val="Heading2"/>
      </w:pPr>
      <w:r>
        <w:rPr>
          <w:rFonts w:ascii="Times New Roman" w:hAnsi="Times New Roman"/>
          <w:b/>
          <w:color w:val="000000"/>
          <w:sz w:val="24"/>
        </w:rPr>
        <w:t>1.4 Systematic Taxonomy of AI Approaches for Soil Health Diagnostics</w:t>
      </w:r>
    </w:p>
    <w:p>
      <w:pPr>
        <w:spacing w:after="80" w:before="40"/>
        <w:jc w:val="both"/>
      </w:pPr>
      <w:r>
        <w:rPr>
          <w:rFonts w:ascii="Times New Roman" w:hAnsi="Times New Roman"/>
          <w:b w:val="0"/>
          <w:i w:val="0"/>
          <w:sz w:val="22"/>
        </w:rPr>
        <w:t>To provide conceptual clarity and structured insight into the reviewed literature, we propose a systematic taxonomy of AI approaches for soil health diagnostics organized by data modality, algorithmic family, and application domain (Table 3). This classification framework addresses the absence of structured organization identified as a key limitation in prior reviews. The taxonomy distinguishes four primary data modalities — spectroscopic, remote sensing, in-situ sensor, and image-based — each associated with specific algorithmic families and target soil health parameters.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val="clear" w:color="auto" w:fill="D9E1F2"/>
          </w:tcPr>
          <w:p>
            <w:r>
              <w:rPr>
                <w:rFonts w:ascii="Times New Roman" w:hAnsi="Times New Roman"/>
                <w:b/>
                <w:sz w:val="18"/>
              </w:rPr>
              <w:t>Data Modality</w:t>
            </w:r>
          </w:p>
        </w:tc>
        <w:tc>
          <w:tcPr>
            <w:tcW w:type="dxa" w:w="1728"/>
            <w:shd w:val="clear" w:color="auto" w:fill="D9E1F2"/>
          </w:tcPr>
          <w:p>
            <w:r>
              <w:rPr>
                <w:rFonts w:ascii="Times New Roman" w:hAnsi="Times New Roman"/>
                <w:b/>
                <w:sz w:val="18"/>
              </w:rPr>
              <w:t>Key Algorithms</w:t>
            </w:r>
          </w:p>
        </w:tc>
        <w:tc>
          <w:tcPr>
            <w:tcW w:type="dxa" w:w="1728"/>
            <w:shd w:val="clear" w:color="auto" w:fill="D9E1F2"/>
          </w:tcPr>
          <w:p>
            <w:r>
              <w:rPr>
                <w:rFonts w:ascii="Times New Roman" w:hAnsi="Times New Roman"/>
                <w:b/>
                <w:sz w:val="18"/>
              </w:rPr>
              <w:t>Target Soil Parameters</w:t>
            </w:r>
          </w:p>
        </w:tc>
        <w:tc>
          <w:tcPr>
            <w:tcW w:type="dxa" w:w="1728"/>
            <w:shd w:val="clear" w:color="auto" w:fill="D9E1F2"/>
          </w:tcPr>
          <w:p>
            <w:r>
              <w:rPr>
                <w:rFonts w:ascii="Times New Roman" w:hAnsi="Times New Roman"/>
                <w:b/>
                <w:sz w:val="18"/>
              </w:rPr>
              <w:t>Typical Accuracy</w:t>
            </w:r>
          </w:p>
        </w:tc>
        <w:tc>
          <w:tcPr>
            <w:tcW w:type="dxa" w:w="1728"/>
            <w:shd w:val="clear" w:color="auto" w:fill="D9E1F2"/>
          </w:tcPr>
          <w:p>
            <w:r>
              <w:rPr>
                <w:rFonts w:ascii="Times New Roman" w:hAnsi="Times New Roman"/>
                <w:b/>
                <w:sz w:val="18"/>
              </w:rPr>
              <w:t>Key Limitation</w:t>
            </w:r>
          </w:p>
        </w:tc>
      </w:tr>
      <w:tr>
        <w:tc>
          <w:tcPr>
            <w:tcW w:type="dxa" w:w="1728"/>
          </w:tcPr>
          <w:p>
            <w:r>
              <w:rPr>
                <w:rFonts w:ascii="Times New Roman" w:hAnsi="Times New Roman"/>
                <w:sz w:val="18"/>
              </w:rPr>
              <w:t>Spectroscopic (VIS-NIR, MIR)</w:t>
            </w:r>
          </w:p>
        </w:tc>
        <w:tc>
          <w:tcPr>
            <w:tcW w:type="dxa" w:w="1728"/>
          </w:tcPr>
          <w:p>
            <w:r>
              <w:rPr>
                <w:rFonts w:ascii="Times New Roman" w:hAnsi="Times New Roman"/>
                <w:sz w:val="18"/>
              </w:rPr>
              <w:t>RF, SVM, PLSR, ANN</w:t>
            </w:r>
          </w:p>
        </w:tc>
        <w:tc>
          <w:tcPr>
            <w:tcW w:type="dxa" w:w="1728"/>
          </w:tcPr>
          <w:p>
            <w:r>
              <w:rPr>
                <w:rFonts w:ascii="Times New Roman" w:hAnsi="Times New Roman"/>
                <w:sz w:val="18"/>
              </w:rPr>
              <w:t>SOC, clay, moisture, pH</w:t>
            </w:r>
          </w:p>
        </w:tc>
        <w:tc>
          <w:tcPr>
            <w:tcW w:type="dxa" w:w="1728"/>
          </w:tcPr>
          <w:p>
            <w:r>
              <w:rPr>
                <w:rFonts w:ascii="Times New Roman" w:hAnsi="Times New Roman"/>
                <w:sz w:val="18"/>
              </w:rPr>
              <w:t>R²: 0.75–0.95</w:t>
            </w:r>
          </w:p>
        </w:tc>
        <w:tc>
          <w:tcPr>
            <w:tcW w:type="dxa" w:w="1728"/>
          </w:tcPr>
          <w:p>
            <w:r>
              <w:rPr>
                <w:rFonts w:ascii="Times New Roman" w:hAnsi="Times New Roman"/>
                <w:sz w:val="18"/>
              </w:rPr>
              <w:t>Moisture interference, portability</w:t>
            </w:r>
          </w:p>
        </w:tc>
      </w:tr>
      <w:tr>
        <w:tc>
          <w:tcPr>
            <w:tcW w:type="dxa" w:w="1728"/>
          </w:tcPr>
          <w:p>
            <w:r>
              <w:rPr>
                <w:rFonts w:ascii="Times New Roman" w:hAnsi="Times New Roman"/>
                <w:sz w:val="18"/>
              </w:rPr>
              <w:t>Spectroscopic (Hyperspectral)</w:t>
            </w:r>
          </w:p>
        </w:tc>
        <w:tc>
          <w:tcPr>
            <w:tcW w:type="dxa" w:w="1728"/>
          </w:tcPr>
          <w:p>
            <w:r>
              <w:rPr>
                <w:rFonts w:ascii="Times New Roman" w:hAnsi="Times New Roman"/>
                <w:sz w:val="18"/>
              </w:rPr>
              <w:t>CNN, LSTM-CNN, Transformer</w:t>
            </w:r>
          </w:p>
        </w:tc>
        <w:tc>
          <w:tcPr>
            <w:tcW w:type="dxa" w:w="1728"/>
          </w:tcPr>
          <w:p>
            <w:r>
              <w:rPr>
                <w:rFonts w:ascii="Times New Roman" w:hAnsi="Times New Roman"/>
                <w:sz w:val="18"/>
              </w:rPr>
              <w:t>SOC, heavy metals, nutrients</w:t>
            </w:r>
          </w:p>
        </w:tc>
        <w:tc>
          <w:tcPr>
            <w:tcW w:type="dxa" w:w="1728"/>
          </w:tcPr>
          <w:p>
            <w:r>
              <w:rPr>
                <w:rFonts w:ascii="Times New Roman" w:hAnsi="Times New Roman"/>
                <w:sz w:val="18"/>
              </w:rPr>
              <w:t>R²: 0.80–0.97</w:t>
            </w:r>
          </w:p>
        </w:tc>
        <w:tc>
          <w:tcPr>
            <w:tcW w:type="dxa" w:w="1728"/>
          </w:tcPr>
          <w:p>
            <w:r>
              <w:rPr>
                <w:rFonts w:ascii="Times New Roman" w:hAnsi="Times New Roman"/>
                <w:sz w:val="18"/>
              </w:rPr>
              <w:t>High dimensionality, overfitting</w:t>
            </w:r>
          </w:p>
        </w:tc>
      </w:tr>
      <w:tr>
        <w:tc>
          <w:tcPr>
            <w:tcW w:type="dxa" w:w="1728"/>
          </w:tcPr>
          <w:p>
            <w:r>
              <w:rPr>
                <w:rFonts w:ascii="Times New Roman" w:hAnsi="Times New Roman"/>
                <w:sz w:val="18"/>
              </w:rPr>
              <w:t>Satellite Remote Sensing</w:t>
            </w:r>
          </w:p>
        </w:tc>
        <w:tc>
          <w:tcPr>
            <w:tcW w:type="dxa" w:w="1728"/>
          </w:tcPr>
          <w:p>
            <w:r>
              <w:rPr>
                <w:rFonts w:ascii="Times New Roman" w:hAnsi="Times New Roman"/>
                <w:sz w:val="18"/>
              </w:rPr>
              <w:t>RF, GBM, XGBoost</w:t>
            </w:r>
          </w:p>
        </w:tc>
        <w:tc>
          <w:tcPr>
            <w:tcW w:type="dxa" w:w="1728"/>
          </w:tcPr>
          <w:p>
            <w:r>
              <w:rPr>
                <w:rFonts w:ascii="Times New Roman" w:hAnsi="Times New Roman"/>
                <w:sz w:val="18"/>
              </w:rPr>
              <w:t>SOC, texture, salinity</w:t>
            </w:r>
          </w:p>
        </w:tc>
        <w:tc>
          <w:tcPr>
            <w:tcW w:type="dxa" w:w="1728"/>
          </w:tcPr>
          <w:p>
            <w:r>
              <w:rPr>
                <w:rFonts w:ascii="Times New Roman" w:hAnsi="Times New Roman"/>
                <w:sz w:val="18"/>
              </w:rPr>
              <w:t>R²: 0.60–0.85</w:t>
            </w:r>
          </w:p>
        </w:tc>
        <w:tc>
          <w:tcPr>
            <w:tcW w:type="dxa" w:w="1728"/>
          </w:tcPr>
          <w:p>
            <w:r>
              <w:rPr>
                <w:rFonts w:ascii="Times New Roman" w:hAnsi="Times New Roman"/>
                <w:sz w:val="18"/>
              </w:rPr>
              <w:t>Cloud cover, vegetation masking</w:t>
            </w:r>
          </w:p>
        </w:tc>
      </w:tr>
      <w:tr>
        <w:tc>
          <w:tcPr>
            <w:tcW w:type="dxa" w:w="1728"/>
          </w:tcPr>
          <w:p>
            <w:r>
              <w:rPr>
                <w:rFonts w:ascii="Times New Roman" w:hAnsi="Times New Roman"/>
                <w:sz w:val="18"/>
              </w:rPr>
              <w:t>UAV/Aerial Imaging</w:t>
            </w:r>
          </w:p>
        </w:tc>
        <w:tc>
          <w:tcPr>
            <w:tcW w:type="dxa" w:w="1728"/>
          </w:tcPr>
          <w:p>
            <w:r>
              <w:rPr>
                <w:rFonts w:ascii="Times New Roman" w:hAnsi="Times New Roman"/>
                <w:sz w:val="18"/>
              </w:rPr>
              <w:t>ResNet, VGG, U-Net</w:t>
            </w:r>
          </w:p>
        </w:tc>
        <w:tc>
          <w:tcPr>
            <w:tcW w:type="dxa" w:w="1728"/>
          </w:tcPr>
          <w:p>
            <w:r>
              <w:rPr>
                <w:rFonts w:ascii="Times New Roman" w:hAnsi="Times New Roman"/>
                <w:sz w:val="18"/>
              </w:rPr>
              <w:t>Soil type, erosion, structure</w:t>
            </w:r>
          </w:p>
        </w:tc>
        <w:tc>
          <w:tcPr>
            <w:tcW w:type="dxa" w:w="1728"/>
          </w:tcPr>
          <w:p>
            <w:r>
              <w:rPr>
                <w:rFonts w:ascii="Times New Roman" w:hAnsi="Times New Roman"/>
                <w:sz w:val="18"/>
              </w:rPr>
              <w:t>Accuracy: 80–95%</w:t>
            </w:r>
          </w:p>
        </w:tc>
        <w:tc>
          <w:tcPr>
            <w:tcW w:type="dxa" w:w="1728"/>
          </w:tcPr>
          <w:p>
            <w:r>
              <w:rPr>
                <w:rFonts w:ascii="Times New Roman" w:hAnsi="Times New Roman"/>
                <w:sz w:val="18"/>
              </w:rPr>
              <w:t>Limited coverage area</w:t>
            </w:r>
          </w:p>
        </w:tc>
      </w:tr>
      <w:tr>
        <w:tc>
          <w:tcPr>
            <w:tcW w:type="dxa" w:w="1728"/>
          </w:tcPr>
          <w:p>
            <w:r>
              <w:rPr>
                <w:rFonts w:ascii="Times New Roman" w:hAnsi="Times New Roman"/>
                <w:sz w:val="18"/>
              </w:rPr>
              <w:t>IoT/In-situ Sensors</w:t>
            </w:r>
          </w:p>
        </w:tc>
        <w:tc>
          <w:tcPr>
            <w:tcW w:type="dxa" w:w="1728"/>
          </w:tcPr>
          <w:p>
            <w:r>
              <w:rPr>
                <w:rFonts w:ascii="Times New Roman" w:hAnsi="Times New Roman"/>
                <w:sz w:val="18"/>
              </w:rPr>
              <w:t>LSTM, RNN, GRU</w:t>
            </w:r>
          </w:p>
        </w:tc>
        <w:tc>
          <w:tcPr>
            <w:tcW w:type="dxa" w:w="1728"/>
          </w:tcPr>
          <w:p>
            <w:r>
              <w:rPr>
                <w:rFonts w:ascii="Times New Roman" w:hAnsi="Times New Roman"/>
                <w:sz w:val="18"/>
              </w:rPr>
              <w:t>Moisture, EC, pH, temperature</w:t>
            </w:r>
          </w:p>
        </w:tc>
        <w:tc>
          <w:tcPr>
            <w:tcW w:type="dxa" w:w="1728"/>
          </w:tcPr>
          <w:p>
            <w:r>
              <w:rPr>
                <w:rFonts w:ascii="Times New Roman" w:hAnsi="Times New Roman"/>
                <w:sz w:val="18"/>
              </w:rPr>
              <w:t>RMSE: 0.02–0.15</w:t>
            </w:r>
          </w:p>
        </w:tc>
        <w:tc>
          <w:tcPr>
            <w:tcW w:type="dxa" w:w="1728"/>
          </w:tcPr>
          <w:p>
            <w:r>
              <w:rPr>
                <w:rFonts w:ascii="Times New Roman" w:hAnsi="Times New Roman"/>
                <w:sz w:val="18"/>
              </w:rPr>
              <w:t>Calibration drift, power</w:t>
            </w:r>
          </w:p>
        </w:tc>
      </w:tr>
      <w:tr>
        <w:tc>
          <w:tcPr>
            <w:tcW w:type="dxa" w:w="1728"/>
          </w:tcPr>
          <w:p>
            <w:r>
              <w:rPr>
                <w:rFonts w:ascii="Times New Roman" w:hAnsi="Times New Roman"/>
                <w:sz w:val="18"/>
              </w:rPr>
              <w:t>Soil Images (RGB/Multi)</w:t>
            </w:r>
          </w:p>
        </w:tc>
        <w:tc>
          <w:tcPr>
            <w:tcW w:type="dxa" w:w="1728"/>
          </w:tcPr>
          <w:p>
            <w:r>
              <w:rPr>
                <w:rFonts w:ascii="Times New Roman" w:hAnsi="Times New Roman"/>
                <w:sz w:val="18"/>
              </w:rPr>
              <w:t>DeepLab, ResNet, ViT</w:t>
            </w:r>
          </w:p>
        </w:tc>
        <w:tc>
          <w:tcPr>
            <w:tcW w:type="dxa" w:w="1728"/>
          </w:tcPr>
          <w:p>
            <w:r>
              <w:rPr>
                <w:rFonts w:ascii="Times New Roman" w:hAnsi="Times New Roman"/>
                <w:sz w:val="18"/>
              </w:rPr>
              <w:t>Texture, structure, type</w:t>
            </w:r>
          </w:p>
        </w:tc>
        <w:tc>
          <w:tcPr>
            <w:tcW w:type="dxa" w:w="1728"/>
          </w:tcPr>
          <w:p>
            <w:r>
              <w:rPr>
                <w:rFonts w:ascii="Times New Roman" w:hAnsi="Times New Roman"/>
                <w:sz w:val="18"/>
              </w:rPr>
              <w:t>Accuracy: 85–96%</w:t>
            </w:r>
          </w:p>
        </w:tc>
        <w:tc>
          <w:tcPr>
            <w:tcW w:type="dxa" w:w="1728"/>
          </w:tcPr>
          <w:p>
            <w:r>
              <w:rPr>
                <w:rFonts w:ascii="Times New Roman" w:hAnsi="Times New Roman"/>
                <w:sz w:val="18"/>
              </w:rPr>
              <w:t>Data scarcity, labeling cost</w:t>
            </w:r>
          </w:p>
        </w:tc>
      </w:tr>
      <w:tr>
        <w:tc>
          <w:tcPr>
            <w:tcW w:type="dxa" w:w="1728"/>
          </w:tcPr>
          <w:p>
            <w:r>
              <w:rPr>
                <w:rFonts w:ascii="Times New Roman" w:hAnsi="Times New Roman"/>
                <w:sz w:val="18"/>
              </w:rPr>
              <w:t>Multi-modal Fusion</w:t>
            </w:r>
          </w:p>
        </w:tc>
        <w:tc>
          <w:tcPr>
            <w:tcW w:type="dxa" w:w="1728"/>
          </w:tcPr>
          <w:p>
            <w:r>
              <w:rPr>
                <w:rFonts w:ascii="Times New Roman" w:hAnsi="Times New Roman"/>
                <w:sz w:val="18"/>
              </w:rPr>
              <w:t>Multi-input CNN, Attention</w:t>
            </w:r>
          </w:p>
        </w:tc>
        <w:tc>
          <w:tcPr>
            <w:tcW w:type="dxa" w:w="1728"/>
          </w:tcPr>
          <w:p>
            <w:r>
              <w:rPr>
                <w:rFonts w:ascii="Times New Roman" w:hAnsi="Times New Roman"/>
                <w:sz w:val="18"/>
              </w:rPr>
              <w:t>Multiple properties</w:t>
            </w:r>
          </w:p>
        </w:tc>
        <w:tc>
          <w:tcPr>
            <w:tcW w:type="dxa" w:w="1728"/>
          </w:tcPr>
          <w:p>
            <w:r>
              <w:rPr>
                <w:rFonts w:ascii="Times New Roman" w:hAnsi="Times New Roman"/>
                <w:sz w:val="18"/>
              </w:rPr>
              <w:t>R²: 0.85–0.98</w:t>
            </w:r>
          </w:p>
        </w:tc>
        <w:tc>
          <w:tcPr>
            <w:tcW w:type="dxa" w:w="1728"/>
          </w:tcPr>
          <w:p>
            <w:r>
              <w:rPr>
                <w:rFonts w:ascii="Times New Roman" w:hAnsi="Times New Roman"/>
                <w:sz w:val="18"/>
              </w:rPr>
              <w:t>Model complexity, integration</w:t>
            </w:r>
          </w:p>
        </w:tc>
      </w:tr>
    </w:tbl>
    <w:p>
      <w:pPr>
        <w:jc w:val="center"/>
      </w:pPr>
      <w:r>
        <w:rPr>
          <w:rFonts w:ascii="Times New Roman" w:hAnsi="Times New Roman"/>
          <w:i/>
          <w:sz w:val="18"/>
        </w:rPr>
        <w:t>Table 3: Systematic taxonomy of AI approaches for soil health diagnostics organized by data modality, algorithmic family, and application domain.</w:t>
      </w:r>
    </w:p>
    <w:p/>
    <w:p>
      <w:pPr>
        <w:pStyle w:val="Heading1"/>
      </w:pPr>
      <w:r>
        <w:rPr>
          <w:rFonts w:ascii="Times New Roman" w:hAnsi="Times New Roman"/>
          <w:b/>
          <w:color w:val="000000"/>
          <w:sz w:val="26"/>
        </w:rPr>
        <w:t>2. AI Approaches and Data Streams for Soil Health Diagnostics</w:t>
      </w:r>
    </w:p>
    <w:p>
      <w:pPr>
        <w:pStyle w:val="Heading2"/>
      </w:pPr>
      <w:r>
        <w:rPr>
          <w:rFonts w:ascii="Times New Roman" w:hAnsi="Times New Roman"/>
          <w:b/>
          <w:color w:val="000000"/>
          <w:sz w:val="24"/>
        </w:rPr>
        <w:t>2.1 Machine Learning for Soil Property Prediction</w:t>
      </w:r>
    </w:p>
    <w:p>
      <w:pPr>
        <w:pStyle w:val="Heading3"/>
      </w:pPr>
      <w:r>
        <w:rPr>
          <w:rFonts w:ascii="Times New Roman" w:hAnsi="Times New Roman"/>
          <w:b/>
          <w:color w:val="000000"/>
          <w:sz w:val="22"/>
        </w:rPr>
        <w:t>2.1.1 From Classical Machine Learning to Ensembles: Building Accurate Soil Property Predictors</w:t>
      </w:r>
    </w:p>
    <w:p>
      <w:pPr>
        <w:spacing w:after="80" w:before="40"/>
        <w:jc w:val="both"/>
      </w:pPr>
      <w:r>
        <w:rPr>
          <w:rFonts w:ascii="Times New Roman" w:hAnsi="Times New Roman"/>
          <w:b w:val="0"/>
          <w:i w:val="0"/>
          <w:sz w:val="22"/>
        </w:rPr>
        <w:t>The application of ML techniques for the prediction of soil properties has progressed substantially during the last 15 years, going beyond simple statistical regression models to more complicated ensemble and deep learning techniques (Minasny &amp; McBratney, 2025). Numerous ML algorithms, including random forests (RF), support vector machines (SVM) and artificial neural networks (ANN) proved viable in the prediction of soil parameters by utilizing spectral, environmental and geographical data (Lamichhane et al., 2025; Kasahun and Legesse, 2024; Viscarra Rossel and Behrens, 2010). Among them, RF has emerged as a preferred system due to its ability to analyze huge datasets, denote non-linear correlations and provision of customized significance output (Zhang et al., 2023; Hengl et al., 2018).</w:t>
      </w:r>
    </w:p>
    <w:p>
      <w:pPr>
        <w:spacing w:after="80" w:before="40"/>
        <w:jc w:val="both"/>
      </w:pPr>
      <w:r>
        <w:rPr>
          <w:rFonts w:ascii="Times New Roman" w:hAnsi="Times New Roman"/>
          <w:b w:val="0"/>
          <w:i w:val="0"/>
          <w:sz w:val="22"/>
        </w:rPr>
        <w:t>In soil health diagnostics, decision trees (DT) are frequently used to categorize soil parameters according to different input features (e.g., pH, organic matter, temperature) (Dash et al., 2025). Hengl et al. (2017) reported that RF models developed using environmental and global soil database parameters can predict SOC accurately, achieving R² values of 0.75–0.85 across diverse global regions. Similarly, Padarian et al. (2019) found that ensemble ML approaches for predicting particular soil parameters perform well when different algorithms are combined together compared to single model approaches. Support vector machines have shown very effective performance for prediction and categorization of soil based on properties when small quantities of training data are available, with reported classification accuracies of 78–92% (El Bouanani et al., 2025; Subramoniam et al., 2025; Ennouri et al., 2024). However, SVMs show difficulty when dealing with large datasets and require accurate variable adjustment to obtain superior performance (Padarian et al., 2020).</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val="clear" w:color="auto" w:fill="D9E1F2"/>
          </w:tcPr>
          <w:p>
            <w:r>
              <w:rPr>
                <w:rFonts w:ascii="Times New Roman" w:hAnsi="Times New Roman"/>
                <w:b/>
                <w:sz w:val="18"/>
              </w:rPr>
              <w:t>Algorithm</w:t>
            </w:r>
          </w:p>
        </w:tc>
        <w:tc>
          <w:tcPr>
            <w:tcW w:type="dxa" w:w="1440"/>
            <w:shd w:val="clear" w:color="auto" w:fill="D9E1F2"/>
          </w:tcPr>
          <w:p>
            <w:r>
              <w:rPr>
                <w:rFonts w:ascii="Times New Roman" w:hAnsi="Times New Roman"/>
                <w:b/>
                <w:sz w:val="18"/>
              </w:rPr>
              <w:t>Type</w:t>
            </w:r>
          </w:p>
        </w:tc>
        <w:tc>
          <w:tcPr>
            <w:tcW w:type="dxa" w:w="1440"/>
            <w:shd w:val="clear" w:color="auto" w:fill="D9E1F2"/>
          </w:tcPr>
          <w:p>
            <w:r>
              <w:rPr>
                <w:rFonts w:ascii="Times New Roman" w:hAnsi="Times New Roman"/>
                <w:b/>
                <w:sz w:val="18"/>
              </w:rPr>
              <w:t>Strengths</w:t>
            </w:r>
          </w:p>
        </w:tc>
        <w:tc>
          <w:tcPr>
            <w:tcW w:type="dxa" w:w="1440"/>
            <w:shd w:val="clear" w:color="auto" w:fill="D9E1F2"/>
          </w:tcPr>
          <w:p>
            <w:r>
              <w:rPr>
                <w:rFonts w:ascii="Times New Roman" w:hAnsi="Times New Roman"/>
                <w:b/>
                <w:sz w:val="18"/>
              </w:rPr>
              <w:t>Limitations</w:t>
            </w:r>
          </w:p>
        </w:tc>
        <w:tc>
          <w:tcPr>
            <w:tcW w:type="dxa" w:w="1440"/>
            <w:shd w:val="clear" w:color="auto" w:fill="D9E1F2"/>
          </w:tcPr>
          <w:p>
            <w:r>
              <w:rPr>
                <w:rFonts w:ascii="Times New Roman" w:hAnsi="Times New Roman"/>
                <w:b/>
                <w:sz w:val="18"/>
              </w:rPr>
              <w:t>Best Application</w:t>
            </w:r>
          </w:p>
        </w:tc>
        <w:tc>
          <w:tcPr>
            <w:tcW w:type="dxa" w:w="1440"/>
            <w:shd w:val="clear" w:color="auto" w:fill="D9E1F2"/>
          </w:tcPr>
          <w:p>
            <w:r>
              <w:rPr>
                <w:rFonts w:ascii="Times New Roman" w:hAnsi="Times New Roman"/>
                <w:b/>
                <w:sz w:val="18"/>
              </w:rPr>
              <w:t>Reported Performance</w:t>
            </w:r>
          </w:p>
        </w:tc>
      </w:tr>
      <w:tr>
        <w:tc>
          <w:tcPr>
            <w:tcW w:type="dxa" w:w="1440"/>
          </w:tcPr>
          <w:p>
            <w:r>
              <w:rPr>
                <w:rFonts w:ascii="Times New Roman" w:hAnsi="Times New Roman"/>
                <w:sz w:val="18"/>
              </w:rPr>
              <w:t>Random Forest (RF)</w:t>
            </w:r>
          </w:p>
        </w:tc>
        <w:tc>
          <w:tcPr>
            <w:tcW w:type="dxa" w:w="1440"/>
          </w:tcPr>
          <w:p>
            <w:r>
              <w:rPr>
                <w:rFonts w:ascii="Times New Roman" w:hAnsi="Times New Roman"/>
                <w:sz w:val="18"/>
              </w:rPr>
              <w:t>Ensemble</w:t>
            </w:r>
          </w:p>
        </w:tc>
        <w:tc>
          <w:tcPr>
            <w:tcW w:type="dxa" w:w="1440"/>
          </w:tcPr>
          <w:p>
            <w:r>
              <w:rPr>
                <w:rFonts w:ascii="Times New Roman" w:hAnsi="Times New Roman"/>
                <w:sz w:val="18"/>
              </w:rPr>
              <w:t>Handles large datasets, non-linear, feature importance</w:t>
            </w:r>
          </w:p>
        </w:tc>
        <w:tc>
          <w:tcPr>
            <w:tcW w:type="dxa" w:w="1440"/>
          </w:tcPr>
          <w:p>
            <w:r>
              <w:rPr>
                <w:rFonts w:ascii="Times New Roman" w:hAnsi="Times New Roman"/>
                <w:sz w:val="18"/>
              </w:rPr>
              <w:t>Less interpretable than DT</w:t>
            </w:r>
          </w:p>
        </w:tc>
        <w:tc>
          <w:tcPr>
            <w:tcW w:type="dxa" w:w="1440"/>
          </w:tcPr>
          <w:p>
            <w:r>
              <w:rPr>
                <w:rFonts w:ascii="Times New Roman" w:hAnsi="Times New Roman"/>
                <w:sz w:val="18"/>
              </w:rPr>
              <w:t>SOC, nutrient mapping</w:t>
            </w:r>
          </w:p>
        </w:tc>
        <w:tc>
          <w:tcPr>
            <w:tcW w:type="dxa" w:w="1440"/>
          </w:tcPr>
          <w:p>
            <w:r>
              <w:rPr>
                <w:rFonts w:ascii="Times New Roman" w:hAnsi="Times New Roman"/>
                <w:sz w:val="18"/>
              </w:rPr>
              <w:t>R²: 0.75–0.92 for SOC</w:t>
            </w:r>
          </w:p>
        </w:tc>
      </w:tr>
      <w:tr>
        <w:tc>
          <w:tcPr>
            <w:tcW w:type="dxa" w:w="1440"/>
          </w:tcPr>
          <w:p>
            <w:r>
              <w:rPr>
                <w:rFonts w:ascii="Times New Roman" w:hAnsi="Times New Roman"/>
                <w:sz w:val="18"/>
              </w:rPr>
              <w:t>Support Vector Machine (SVM)</w:t>
            </w:r>
          </w:p>
        </w:tc>
        <w:tc>
          <w:tcPr>
            <w:tcW w:type="dxa" w:w="1440"/>
          </w:tcPr>
          <w:p>
            <w:r>
              <w:rPr>
                <w:rFonts w:ascii="Times New Roman" w:hAnsi="Times New Roman"/>
                <w:sz w:val="18"/>
              </w:rPr>
              <w:t>Kernel-based</w:t>
            </w:r>
          </w:p>
        </w:tc>
        <w:tc>
          <w:tcPr>
            <w:tcW w:type="dxa" w:w="1440"/>
          </w:tcPr>
          <w:p>
            <w:r>
              <w:rPr>
                <w:rFonts w:ascii="Times New Roman" w:hAnsi="Times New Roman"/>
                <w:sz w:val="18"/>
              </w:rPr>
              <w:t>Effective with small data, non-linear kernels</w:t>
            </w:r>
          </w:p>
        </w:tc>
        <w:tc>
          <w:tcPr>
            <w:tcW w:type="dxa" w:w="1440"/>
          </w:tcPr>
          <w:p>
            <w:r>
              <w:rPr>
                <w:rFonts w:ascii="Times New Roman" w:hAnsi="Times New Roman"/>
                <w:sz w:val="18"/>
              </w:rPr>
              <w:t>Slow on large datasets, tuning needed</w:t>
            </w:r>
          </w:p>
        </w:tc>
        <w:tc>
          <w:tcPr>
            <w:tcW w:type="dxa" w:w="1440"/>
          </w:tcPr>
          <w:p>
            <w:r>
              <w:rPr>
                <w:rFonts w:ascii="Times New Roman" w:hAnsi="Times New Roman"/>
                <w:sz w:val="18"/>
              </w:rPr>
              <w:t>Spectral classification</w:t>
            </w:r>
          </w:p>
        </w:tc>
        <w:tc>
          <w:tcPr>
            <w:tcW w:type="dxa" w:w="1440"/>
          </w:tcPr>
          <w:p>
            <w:r>
              <w:rPr>
                <w:rFonts w:ascii="Times New Roman" w:hAnsi="Times New Roman"/>
                <w:sz w:val="18"/>
              </w:rPr>
              <w:t>Accuracy: 78–92%</w:t>
            </w:r>
          </w:p>
        </w:tc>
      </w:tr>
      <w:tr>
        <w:tc>
          <w:tcPr>
            <w:tcW w:type="dxa" w:w="1440"/>
          </w:tcPr>
          <w:p>
            <w:r>
              <w:rPr>
                <w:rFonts w:ascii="Times New Roman" w:hAnsi="Times New Roman"/>
                <w:sz w:val="18"/>
              </w:rPr>
              <w:t>Artificial Neural Network (ANN)</w:t>
            </w:r>
          </w:p>
        </w:tc>
        <w:tc>
          <w:tcPr>
            <w:tcW w:type="dxa" w:w="1440"/>
          </w:tcPr>
          <w:p>
            <w:r>
              <w:rPr>
                <w:rFonts w:ascii="Times New Roman" w:hAnsi="Times New Roman"/>
                <w:sz w:val="18"/>
              </w:rPr>
              <w:t>Neural</w:t>
            </w:r>
          </w:p>
        </w:tc>
        <w:tc>
          <w:tcPr>
            <w:tcW w:type="dxa" w:w="1440"/>
          </w:tcPr>
          <w:p>
            <w:r>
              <w:rPr>
                <w:rFonts w:ascii="Times New Roman" w:hAnsi="Times New Roman"/>
                <w:sz w:val="18"/>
              </w:rPr>
              <w:t>Universal approximator, flexible</w:t>
            </w:r>
          </w:p>
        </w:tc>
        <w:tc>
          <w:tcPr>
            <w:tcW w:type="dxa" w:w="1440"/>
          </w:tcPr>
          <w:p>
            <w:r>
              <w:rPr>
                <w:rFonts w:ascii="Times New Roman" w:hAnsi="Times New Roman"/>
                <w:sz w:val="18"/>
              </w:rPr>
              <w:t>Overfitting, needs tuning</w:t>
            </w:r>
          </w:p>
        </w:tc>
        <w:tc>
          <w:tcPr>
            <w:tcW w:type="dxa" w:w="1440"/>
          </w:tcPr>
          <w:p>
            <w:r>
              <w:rPr>
                <w:rFonts w:ascii="Times New Roman" w:hAnsi="Times New Roman"/>
                <w:sz w:val="18"/>
              </w:rPr>
              <w:t>Multi-property prediction</w:t>
            </w:r>
          </w:p>
        </w:tc>
        <w:tc>
          <w:tcPr>
            <w:tcW w:type="dxa" w:w="1440"/>
          </w:tcPr>
          <w:p>
            <w:r>
              <w:rPr>
                <w:rFonts w:ascii="Times New Roman" w:hAnsi="Times New Roman"/>
                <w:sz w:val="18"/>
              </w:rPr>
              <w:t>R²: 0.70–0.88</w:t>
            </w:r>
          </w:p>
        </w:tc>
      </w:tr>
      <w:tr>
        <w:tc>
          <w:tcPr>
            <w:tcW w:type="dxa" w:w="1440"/>
          </w:tcPr>
          <w:p>
            <w:r>
              <w:rPr>
                <w:rFonts w:ascii="Times New Roman" w:hAnsi="Times New Roman"/>
                <w:sz w:val="18"/>
              </w:rPr>
              <w:t>Gradient Boosting (GBM/XGBoost)</w:t>
            </w:r>
          </w:p>
        </w:tc>
        <w:tc>
          <w:tcPr>
            <w:tcW w:type="dxa" w:w="1440"/>
          </w:tcPr>
          <w:p>
            <w:r>
              <w:rPr>
                <w:rFonts w:ascii="Times New Roman" w:hAnsi="Times New Roman"/>
                <w:sz w:val="18"/>
              </w:rPr>
              <w:t>Ensemble</w:t>
            </w:r>
          </w:p>
        </w:tc>
        <w:tc>
          <w:tcPr>
            <w:tcW w:type="dxa" w:w="1440"/>
          </w:tcPr>
          <w:p>
            <w:r>
              <w:rPr>
                <w:rFonts w:ascii="Times New Roman" w:hAnsi="Times New Roman"/>
                <w:sz w:val="18"/>
              </w:rPr>
              <w:t>High accuracy, handles missing data</w:t>
            </w:r>
          </w:p>
        </w:tc>
        <w:tc>
          <w:tcPr>
            <w:tcW w:type="dxa" w:w="1440"/>
          </w:tcPr>
          <w:p>
            <w:r>
              <w:rPr>
                <w:rFonts w:ascii="Times New Roman" w:hAnsi="Times New Roman"/>
                <w:sz w:val="18"/>
              </w:rPr>
              <w:t>Computationally intensive</w:t>
            </w:r>
          </w:p>
        </w:tc>
        <w:tc>
          <w:tcPr>
            <w:tcW w:type="dxa" w:w="1440"/>
          </w:tcPr>
          <w:p>
            <w:r>
              <w:rPr>
                <w:rFonts w:ascii="Times New Roman" w:hAnsi="Times New Roman"/>
                <w:sz w:val="18"/>
              </w:rPr>
              <w:t>Soil mapping, SOC</w:t>
            </w:r>
          </w:p>
        </w:tc>
        <w:tc>
          <w:tcPr>
            <w:tcW w:type="dxa" w:w="1440"/>
          </w:tcPr>
          <w:p>
            <w:r>
              <w:rPr>
                <w:rFonts w:ascii="Times New Roman" w:hAnsi="Times New Roman"/>
                <w:sz w:val="18"/>
              </w:rPr>
              <w:t>R²: 0.80–0.93</w:t>
            </w:r>
          </w:p>
        </w:tc>
      </w:tr>
      <w:tr>
        <w:tc>
          <w:tcPr>
            <w:tcW w:type="dxa" w:w="1440"/>
          </w:tcPr>
          <w:p>
            <w:r>
              <w:rPr>
                <w:rFonts w:ascii="Times New Roman" w:hAnsi="Times New Roman"/>
                <w:sz w:val="18"/>
              </w:rPr>
              <w:t>CNN</w:t>
            </w:r>
          </w:p>
        </w:tc>
        <w:tc>
          <w:tcPr>
            <w:tcW w:type="dxa" w:w="1440"/>
          </w:tcPr>
          <w:p>
            <w:r>
              <w:rPr>
                <w:rFonts w:ascii="Times New Roman" w:hAnsi="Times New Roman"/>
                <w:sz w:val="18"/>
              </w:rPr>
              <w:t>Deep Learning</w:t>
            </w:r>
          </w:p>
        </w:tc>
        <w:tc>
          <w:tcPr>
            <w:tcW w:type="dxa" w:w="1440"/>
          </w:tcPr>
          <w:p>
            <w:r>
              <w:rPr>
                <w:rFonts w:ascii="Times New Roman" w:hAnsi="Times New Roman"/>
                <w:sz w:val="18"/>
              </w:rPr>
              <w:t>Spatial feature extraction, hyperspectral</w:t>
            </w:r>
          </w:p>
        </w:tc>
        <w:tc>
          <w:tcPr>
            <w:tcW w:type="dxa" w:w="1440"/>
          </w:tcPr>
          <w:p>
            <w:r>
              <w:rPr>
                <w:rFonts w:ascii="Times New Roman" w:hAnsi="Times New Roman"/>
                <w:sz w:val="18"/>
              </w:rPr>
              <w:t>Needs large data, GPU</w:t>
            </w:r>
          </w:p>
        </w:tc>
        <w:tc>
          <w:tcPr>
            <w:tcW w:type="dxa" w:w="1440"/>
          </w:tcPr>
          <w:p>
            <w:r>
              <w:rPr>
                <w:rFonts w:ascii="Times New Roman" w:hAnsi="Times New Roman"/>
                <w:sz w:val="18"/>
              </w:rPr>
              <w:t>Image/spectral analysis</w:t>
            </w:r>
          </w:p>
        </w:tc>
        <w:tc>
          <w:tcPr>
            <w:tcW w:type="dxa" w:w="1440"/>
          </w:tcPr>
          <w:p>
            <w:r>
              <w:rPr>
                <w:rFonts w:ascii="Times New Roman" w:hAnsi="Times New Roman"/>
                <w:sz w:val="18"/>
              </w:rPr>
              <w:t>R²: 0.82–0.97</w:t>
            </w:r>
          </w:p>
        </w:tc>
      </w:tr>
      <w:tr>
        <w:tc>
          <w:tcPr>
            <w:tcW w:type="dxa" w:w="1440"/>
          </w:tcPr>
          <w:p>
            <w:r>
              <w:rPr>
                <w:rFonts w:ascii="Times New Roman" w:hAnsi="Times New Roman"/>
                <w:sz w:val="18"/>
              </w:rPr>
              <w:t>LSTM/RNN</w:t>
            </w:r>
          </w:p>
        </w:tc>
        <w:tc>
          <w:tcPr>
            <w:tcW w:type="dxa" w:w="1440"/>
          </w:tcPr>
          <w:p>
            <w:r>
              <w:rPr>
                <w:rFonts w:ascii="Times New Roman" w:hAnsi="Times New Roman"/>
                <w:sz w:val="18"/>
              </w:rPr>
              <w:t>Deep Learning</w:t>
            </w:r>
          </w:p>
        </w:tc>
        <w:tc>
          <w:tcPr>
            <w:tcW w:type="dxa" w:w="1440"/>
          </w:tcPr>
          <w:p>
            <w:r>
              <w:rPr>
                <w:rFonts w:ascii="Times New Roman" w:hAnsi="Times New Roman"/>
                <w:sz w:val="18"/>
              </w:rPr>
              <w:t>Temporal patterns, time-series</w:t>
            </w:r>
          </w:p>
        </w:tc>
        <w:tc>
          <w:tcPr>
            <w:tcW w:type="dxa" w:w="1440"/>
          </w:tcPr>
          <w:p>
            <w:r>
              <w:rPr>
                <w:rFonts w:ascii="Times New Roman" w:hAnsi="Times New Roman"/>
                <w:sz w:val="18"/>
              </w:rPr>
              <w:t>Vanishing gradient, slow</w:t>
            </w:r>
          </w:p>
        </w:tc>
        <w:tc>
          <w:tcPr>
            <w:tcW w:type="dxa" w:w="1440"/>
          </w:tcPr>
          <w:p>
            <w:r>
              <w:rPr>
                <w:rFonts w:ascii="Times New Roman" w:hAnsi="Times New Roman"/>
                <w:sz w:val="18"/>
              </w:rPr>
              <w:t>Soil moisture dynamics</w:t>
            </w:r>
          </w:p>
        </w:tc>
        <w:tc>
          <w:tcPr>
            <w:tcW w:type="dxa" w:w="1440"/>
          </w:tcPr>
          <w:p>
            <w:r>
              <w:rPr>
                <w:rFonts w:ascii="Times New Roman" w:hAnsi="Times New Roman"/>
                <w:sz w:val="18"/>
              </w:rPr>
              <w:t>RMSE: 0.02–0.08 m³/m³</w:t>
            </w:r>
          </w:p>
        </w:tc>
      </w:tr>
      <w:tr>
        <w:tc>
          <w:tcPr>
            <w:tcW w:type="dxa" w:w="1440"/>
          </w:tcPr>
          <w:p>
            <w:r>
              <w:rPr>
                <w:rFonts w:ascii="Times New Roman" w:hAnsi="Times New Roman"/>
                <w:sz w:val="18"/>
              </w:rPr>
              <w:t>Transformer</w:t>
            </w:r>
          </w:p>
        </w:tc>
        <w:tc>
          <w:tcPr>
            <w:tcW w:type="dxa" w:w="1440"/>
          </w:tcPr>
          <w:p>
            <w:r>
              <w:rPr>
                <w:rFonts w:ascii="Times New Roman" w:hAnsi="Times New Roman"/>
                <w:sz w:val="18"/>
              </w:rPr>
              <w:t>Deep Learning</w:t>
            </w:r>
          </w:p>
        </w:tc>
        <w:tc>
          <w:tcPr>
            <w:tcW w:type="dxa" w:w="1440"/>
          </w:tcPr>
          <w:p>
            <w:r>
              <w:rPr>
                <w:rFonts w:ascii="Times New Roman" w:hAnsi="Times New Roman"/>
                <w:sz w:val="18"/>
              </w:rPr>
              <w:t>Long-range dependencies, attention</w:t>
            </w:r>
          </w:p>
        </w:tc>
        <w:tc>
          <w:tcPr>
            <w:tcW w:type="dxa" w:w="1440"/>
          </w:tcPr>
          <w:p>
            <w:r>
              <w:rPr>
                <w:rFonts w:ascii="Times New Roman" w:hAnsi="Times New Roman"/>
                <w:sz w:val="18"/>
              </w:rPr>
              <w:t>Very data hungry, complex</w:t>
            </w:r>
          </w:p>
        </w:tc>
        <w:tc>
          <w:tcPr>
            <w:tcW w:type="dxa" w:w="1440"/>
          </w:tcPr>
          <w:p>
            <w:r>
              <w:rPr>
                <w:rFonts w:ascii="Times New Roman" w:hAnsi="Times New Roman"/>
                <w:sz w:val="18"/>
              </w:rPr>
              <w:t>Multi-modal fusion</w:t>
            </w:r>
          </w:p>
        </w:tc>
        <w:tc>
          <w:tcPr>
            <w:tcW w:type="dxa" w:w="1440"/>
          </w:tcPr>
          <w:p>
            <w:r>
              <w:rPr>
                <w:rFonts w:ascii="Times New Roman" w:hAnsi="Times New Roman"/>
                <w:sz w:val="18"/>
              </w:rPr>
              <w:t>R²: 0.85–0.96</w:t>
            </w:r>
          </w:p>
        </w:tc>
      </w:tr>
    </w:tbl>
    <w:p>
      <w:pPr>
        <w:jc w:val="center"/>
      </w:pPr>
      <w:r>
        <w:rPr>
          <w:rFonts w:ascii="Times New Roman" w:hAnsi="Times New Roman"/>
          <w:i/>
          <w:sz w:val="18"/>
        </w:rPr>
        <w:t>Table 4: Comparative performance of major ML/DL algorithms for soil health diagnostics. R² = coefficient of determination; RMSE = root mean square error.</w:t>
      </w:r>
    </w:p>
    <w:p/>
    <w:p>
      <w:pPr>
        <w:pStyle w:val="Heading3"/>
      </w:pPr>
      <w:r>
        <w:rPr>
          <w:rFonts w:ascii="Times New Roman" w:hAnsi="Times New Roman"/>
          <w:b/>
          <w:color w:val="000000"/>
          <w:sz w:val="22"/>
        </w:rPr>
        <w:t>2.1.2 Deep Learning for Complex Soil Data</w:t>
      </w:r>
    </w:p>
    <w:p>
      <w:pPr>
        <w:spacing w:after="80" w:before="40"/>
        <w:jc w:val="both"/>
      </w:pPr>
      <w:r>
        <w:rPr>
          <w:rFonts w:ascii="Times New Roman" w:hAnsi="Times New Roman"/>
          <w:b w:val="0"/>
          <w:i w:val="0"/>
          <w:sz w:val="22"/>
        </w:rPr>
        <w:t>Deep learning offers promising advancements in soil health diagnosis by effectively analyzing complex, high-dimensional data (e.g. hyperspectral images and multi-temporal satellite observations). CNNs performed with greater precision in analyzing spatial and remote sensing (RS) data of the soil (Wang et al., 2022; Padarian et al., 2019). CNN architectures are also able to accurately predict soil parameters using hyperspectral data, automatically learning principal spectral attributes with no need for specific feature engineering (Liu et al., 2024; Riese et al., 2020). To determine temporal variations in various soil characteristics e.g. soil moisture and temperature, recurrent neural networks (RNN) and long short-term memory (LSTM) networks are employed (Farhangmehr et al., 2025; Fang et al., 2019). Fang et al. (2019) reported that LSTM networks outperformed standard time-series models for prediction of soil moisture at different depths, achieving RMSE values approximately 15–20% lower than conventional approaches. Transfer learning algorithms also prove to be a reliable alternative to data scarcity issues in soil science, enabling the application of AI models from data-rich areas to data-poor regions (Gueye et al., 2025; Peng et al., 2024; Padarian et al., 2020).</w:t>
      </w:r>
    </w:p>
    <w:p>
      <w:pPr>
        <w:pStyle w:val="Heading3"/>
      </w:pPr>
      <w:r>
        <w:rPr>
          <w:rFonts w:ascii="Times New Roman" w:hAnsi="Times New Roman"/>
          <w:b/>
          <w:color w:val="000000"/>
          <w:sz w:val="22"/>
        </w:rPr>
        <w:t>2.1.3 Transfer Learning and Ensemble Soil Modeling: Beyond Single Models</w:t>
      </w:r>
    </w:p>
    <w:p>
      <w:pPr>
        <w:spacing w:after="80" w:before="40"/>
        <w:jc w:val="both"/>
      </w:pPr>
      <w:r>
        <w:rPr>
          <w:rFonts w:ascii="Times New Roman" w:hAnsi="Times New Roman"/>
          <w:b w:val="0"/>
          <w:i w:val="0"/>
          <w:sz w:val="22"/>
        </w:rPr>
        <w:t>Ensemble learning approaches that use predictions from multiple models typically outperform solo algorithms. Ensemble ML increases the precision and resilience of global soil property maps by employing the integrated approach of neural networks, RF and gradient boosting machines (Hengl et al., 2018). This is ideal for large soil mapping applications since it reduces prediction errors and improves generalization potential across a number of environmental variables (Tahmouresi et al., 2024; Wadoux et al., 2020). Despite these advantages, model interpretability poses a significant problem when working with complex algorithms that serve as black boxes like deep neural networks (DNNs) (Bahadori-Jahromi et al., 2025; Wadoux et al., 2021). The latest advances in explainable AI frameworks — SHAP values, LIME, and Grad-CAM — are addressing this issue by providing clearer insight into feature importance and overall model behavior (Elango et al., 2025; Parisineni et al., 2024; Lundberg and Lee, 2017). Major challenges still include overfitting and limited ability of models to generalize across different geographical regions and soil types (De Caires et al., 2025; Minasny and McBratney, 2025; Padarian et al., 2019).</w:t>
      </w:r>
    </w:p>
    <w:p>
      <w:pPr>
        <w:pStyle w:val="Heading2"/>
      </w:pPr>
      <w:r>
        <w:rPr>
          <w:rFonts w:ascii="Times New Roman" w:hAnsi="Times New Roman"/>
          <w:b/>
          <w:color w:val="000000"/>
          <w:sz w:val="24"/>
        </w:rPr>
        <w:t>2.2 Remote Sensing and Spectroscopy Approaches for Scalable Soil Health Assessment</w:t>
      </w:r>
    </w:p>
    <w:p>
      <w:pPr>
        <w:pStyle w:val="Heading3"/>
      </w:pPr>
      <w:r>
        <w:rPr>
          <w:rFonts w:ascii="Times New Roman" w:hAnsi="Times New Roman"/>
          <w:b/>
          <w:color w:val="000000"/>
          <w:sz w:val="22"/>
        </w:rPr>
        <w:t>2.2.1 Satellite and UAV Remote Sensing: Spatial-Temporal Soil Mapping at Scale</w:t>
      </w:r>
    </w:p>
    <w:p>
      <w:pPr>
        <w:spacing w:after="80" w:before="40"/>
        <w:jc w:val="both"/>
      </w:pPr>
      <w:r>
        <w:rPr>
          <w:rFonts w:ascii="Times New Roman" w:hAnsi="Times New Roman"/>
          <w:b w:val="0"/>
          <w:i w:val="0"/>
          <w:sz w:val="22"/>
        </w:rPr>
        <w:t>Remote sensing (RS) techniques have changed soil health evaluations by enabling non-invasive, spatially descriptive assessments of soil properties at various scales. The simultaneous use of AI and RS has unlocked new options towards soil mapping, monitoring and management (Abdulraheem et al., 2023; Castaldi et al., 2019). RS systems based on satellites (Landsat, Sentinel and MODIS) provide multispectral and hyperspectral imagery that measures surface reflectance patterns related to soil characteristics. By utilizing Sentinel-2 multispectral data with ML techniques, SOC can be accurately determined across different agricultural areas, with reported R² values of 0.65–0.82 (El-Jamaoui et al., 2025; Demattê et al., 2018). UAVs equipped with multispectral and hyperspectral sensors provide numerous benefits against satellite imaging including better spatial resolution, ease of image acquisition and operational ability under cloud cover (Thapa &amp; Thapa, 2025; Dadrass et al., 2024). Näsi et al. (2018) reported that UAV hyperspectral imagery combined with ML can precisely predict soil parameters in agriculture fields with classification accuracies exceeding 88%.</w:t>
      </w:r>
    </w:p>
    <w:p>
      <w:pPr>
        <w:pStyle w:val="Heading3"/>
      </w:pPr>
      <w:r>
        <w:rPr>
          <w:rFonts w:ascii="Times New Roman" w:hAnsi="Times New Roman"/>
          <w:b/>
          <w:color w:val="000000"/>
          <w:sz w:val="22"/>
        </w:rPr>
        <w:t>2.2.2 Soil Spectroscopy Approaches (VIS-NIR, MIR, Hyperspectral): Rapid Diagnostics Beyond Wet Chemistry</w:t>
      </w:r>
    </w:p>
    <w:p>
      <w:pPr>
        <w:spacing w:after="80" w:before="40"/>
        <w:jc w:val="both"/>
      </w:pPr>
      <w:r>
        <w:rPr>
          <w:rFonts w:ascii="Times New Roman" w:hAnsi="Times New Roman"/>
          <w:b w:val="0"/>
          <w:i w:val="0"/>
          <w:sz w:val="22"/>
        </w:rPr>
        <w:t>VIS-NIR spectroscopy is an important method for rapid soil diagnoses. The technique analyzes the absorption and reflectance of light between the range of 400 to 2500 nm wavelength, hence can show SOC, clay minerals, iron oxides levels and moisture levels in the soil. Precision of such methods is reported to be comparable to conventional laboratory practices, with R² values of 0.80–0.95 for SOC prediction (Xie &amp; Wu, 2025; Wang et al., 2024; Viscarra Rossel et al., 2016). Mid-infrared (MIR) spectroscopy has a range of 2500–25000 nm wavelengths and provides much more detailed absorption details at the molecular level. According to Reeves (2010), when partial least squares regression is paired with MIR, it provides precise estimation of SOC with R² values exceeding 0.90 in controlled conditions. The prediction of complex soil properties can be achieved using hyperspectral imaging by gathering hundreds of contiguous spectral bands. CNN showed exceptional performance in hyperspectral data analysis by autonomously identifying important spectral characteristics and spatial patterns (Riese et al., 2020), with reported improvements of 10–25% over traditional regression methods. A novel technique for rapid and in-situ elemental analysis of soils is Laser Induced Breakdown Spectroscopy (LIBS), which uses intense laser pulses that create plasma on soil surface and the resulted light spectrum giving information about the elemental composition (Senesi &amp; Senesi, 2016). X-ray fluorescence (XRF) spectroscopy enables the fast, nondestructive elemental examination of soil using portable XRF equipment for field analysis (Jenkins et al., 2024).</w:t>
      </w:r>
    </w:p>
    <w:p>
      <w:pPr>
        <w:pStyle w:val="Heading3"/>
      </w:pPr>
      <w:r>
        <w:rPr>
          <w:rFonts w:ascii="Times New Roman" w:hAnsi="Times New Roman"/>
          <w:b/>
          <w:color w:val="000000"/>
          <w:sz w:val="22"/>
        </w:rPr>
        <w:t>2.2.3 Spectroscopic Preprocessing Pipeline: Feature Extraction and Dimensionality Reduction</w:t>
      </w:r>
    </w:p>
    <w:p>
      <w:pPr>
        <w:spacing w:after="80" w:before="40"/>
        <w:jc w:val="both"/>
      </w:pPr>
      <w:r>
        <w:rPr>
          <w:rFonts w:ascii="Times New Roman" w:hAnsi="Times New Roman"/>
          <w:b w:val="0"/>
          <w:i w:val="0"/>
          <w:sz w:val="22"/>
        </w:rPr>
        <w:t>A critical aspect of spectroscopic soil diagnostics that has been insufficiently addressed in prior reviews is the preprocessing pipeline required to transform raw spectral data into informative model inputs. High-dimensional spectral data from VIS-NIR, MIR, and hyperspectral sensors typically exhibit strong multicollinearity and noise, requiring systematic preprocessing before ML/DL model application (Viscarra Rossel et al., 2016; Knadel et al., 2023). The standard preprocessing workflow involves several sequential steps: (1) smoothing using Savitzky-Golay filters to reduce high-frequency noise while preserving spectral shape; (2) normalization (standard normal variate, SNV) to remove multiplicative scatter effects caused by particle size variation; (3) derivative transformations (first or second derivative) to enhance spectral features and remove baseline drift; and (4) continuum removal to isolate absorption features from background reflectance.</w:t>
      </w:r>
    </w:p>
    <w:p>
      <w:pPr>
        <w:spacing w:after="80" w:before="40"/>
        <w:jc w:val="both"/>
      </w:pPr>
      <w:r>
        <w:rPr>
          <w:rFonts w:ascii="Times New Roman" w:hAnsi="Times New Roman"/>
          <w:b w:val="0"/>
          <w:i w:val="0"/>
          <w:sz w:val="22"/>
        </w:rPr>
        <w:t>Following preprocessing, dimensionality reduction is essential to address the curse of dimensionality inherent in spectral data with hundreds to thousands of bands. Principal Component Analysis (PCA) is the most widely applied technique, typically retaining 95–99% of spectral variance in 5–20 principal components, reducing computational burden while preserving predictive information (Ahmadi et al., 2021). Partial Least Squares Regression (PLSR) simultaneously performs dimensionality reduction and regression, making it particularly suited for spectroscopic soil analysis where the number of predictors far exceeds observations. PLSR has been reported to achieve R² values of 0.85–0.93 for SOC prediction from VIS-NIR data (Soriano-Disla et al., 2014). More recently, autoencoders and variational autoencoders (VAEs) have been applied for non-linear dimensionality reduction of hyperspectral data, capturing complex spectral-soil property relationships that linear methods miss.</w:t>
      </w:r>
    </w:p>
    <w:p>
      <w:pPr>
        <w:spacing w:after="80" w:before="40"/>
        <w:jc w:val="both"/>
      </w:pPr>
      <w:r>
        <w:rPr>
          <w:rFonts w:ascii="Times New Roman" w:hAnsi="Times New Roman"/>
          <w:b w:val="0"/>
          <w:i w:val="0"/>
          <w:sz w:val="22"/>
        </w:rPr>
        <w:t>The interaction between these transformed features and downstream ML models is critical for model performance, robustness, and overfitting behavior. RF models applied to PCA-reduced spectral features typically show improved generalization compared to full-spectrum inputs, with cross-validated R² improvements of 5–15% (Zhang et al., 2023). SVM models benefit particularly from PLSR-reduced inputs due to the reduction of multicollinearity that otherwise degrades kernel performance. CNN models, by contrast, can learn spectral features directly from raw or minimally preprocessed data, but require substantially larger training datasets (&gt;500 samples) to avoid overfitting. The choice of preprocessing strategy therefore depends critically on the available dataset size, target soil property, and selected ML/DL architecture.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val="clear" w:color="auto" w:fill="D9E1F2"/>
          </w:tcPr>
          <w:p>
            <w:r>
              <w:rPr>
                <w:rFonts w:ascii="Times New Roman" w:hAnsi="Times New Roman"/>
                <w:b/>
                <w:sz w:val="18"/>
              </w:rPr>
              <w:t>Preprocessing Step</w:t>
            </w:r>
          </w:p>
        </w:tc>
        <w:tc>
          <w:tcPr>
            <w:tcW w:type="dxa" w:w="1728"/>
            <w:shd w:val="clear" w:color="auto" w:fill="D9E1F2"/>
          </w:tcPr>
          <w:p>
            <w:r>
              <w:rPr>
                <w:rFonts w:ascii="Times New Roman" w:hAnsi="Times New Roman"/>
                <w:b/>
                <w:sz w:val="18"/>
              </w:rPr>
              <w:t>Method</w:t>
            </w:r>
          </w:p>
        </w:tc>
        <w:tc>
          <w:tcPr>
            <w:tcW w:type="dxa" w:w="1728"/>
            <w:shd w:val="clear" w:color="auto" w:fill="D9E1F2"/>
          </w:tcPr>
          <w:p>
            <w:r>
              <w:rPr>
                <w:rFonts w:ascii="Times New Roman" w:hAnsi="Times New Roman"/>
                <w:b/>
                <w:sz w:val="18"/>
              </w:rPr>
              <w:t>Purpose</w:t>
            </w:r>
          </w:p>
        </w:tc>
        <w:tc>
          <w:tcPr>
            <w:tcW w:type="dxa" w:w="1728"/>
            <w:shd w:val="clear" w:color="auto" w:fill="D9E1F2"/>
          </w:tcPr>
          <w:p>
            <w:r>
              <w:rPr>
                <w:rFonts w:ascii="Times New Roman" w:hAnsi="Times New Roman"/>
                <w:b/>
                <w:sz w:val="18"/>
              </w:rPr>
              <w:t>Effect on ML Performance</w:t>
            </w:r>
          </w:p>
        </w:tc>
        <w:tc>
          <w:tcPr>
            <w:tcW w:type="dxa" w:w="1728"/>
            <w:shd w:val="clear" w:color="auto" w:fill="D9E1F2"/>
          </w:tcPr>
          <w:p>
            <w:r>
              <w:rPr>
                <w:rFonts w:ascii="Times New Roman" w:hAnsi="Times New Roman"/>
                <w:b/>
                <w:sz w:val="18"/>
              </w:rPr>
              <w:t>Recommended For</w:t>
            </w:r>
          </w:p>
        </w:tc>
      </w:tr>
      <w:tr>
        <w:tc>
          <w:tcPr>
            <w:tcW w:type="dxa" w:w="1728"/>
          </w:tcPr>
          <w:p>
            <w:r>
              <w:rPr>
                <w:rFonts w:ascii="Times New Roman" w:hAnsi="Times New Roman"/>
                <w:sz w:val="18"/>
              </w:rPr>
              <w:t>Smoothing</w:t>
            </w:r>
          </w:p>
        </w:tc>
        <w:tc>
          <w:tcPr>
            <w:tcW w:type="dxa" w:w="1728"/>
          </w:tcPr>
          <w:p>
            <w:r>
              <w:rPr>
                <w:rFonts w:ascii="Times New Roman" w:hAnsi="Times New Roman"/>
                <w:sz w:val="18"/>
              </w:rPr>
              <w:t>Savitzky-Golay filter</w:t>
            </w:r>
          </w:p>
        </w:tc>
        <w:tc>
          <w:tcPr>
            <w:tcW w:type="dxa" w:w="1728"/>
          </w:tcPr>
          <w:p>
            <w:r>
              <w:rPr>
                <w:rFonts w:ascii="Times New Roman" w:hAnsi="Times New Roman"/>
                <w:sz w:val="18"/>
              </w:rPr>
              <w:t>Noise reduction</w:t>
            </w:r>
          </w:p>
        </w:tc>
        <w:tc>
          <w:tcPr>
            <w:tcW w:type="dxa" w:w="1728"/>
          </w:tcPr>
          <w:p>
            <w:r>
              <w:rPr>
                <w:rFonts w:ascii="Times New Roman" w:hAnsi="Times New Roman"/>
                <w:sz w:val="18"/>
              </w:rPr>
              <w:t>+5–10% R² improvement</w:t>
            </w:r>
          </w:p>
        </w:tc>
        <w:tc>
          <w:tcPr>
            <w:tcW w:type="dxa" w:w="1728"/>
          </w:tcPr>
          <w:p>
            <w:r>
              <w:rPr>
                <w:rFonts w:ascii="Times New Roman" w:hAnsi="Times New Roman"/>
                <w:sz w:val="18"/>
              </w:rPr>
              <w:t>All spectral data</w:t>
            </w:r>
          </w:p>
        </w:tc>
      </w:tr>
      <w:tr>
        <w:tc>
          <w:tcPr>
            <w:tcW w:type="dxa" w:w="1728"/>
          </w:tcPr>
          <w:p>
            <w:r>
              <w:rPr>
                <w:rFonts w:ascii="Times New Roman" w:hAnsi="Times New Roman"/>
                <w:sz w:val="18"/>
              </w:rPr>
              <w:t>Scatter correction</w:t>
            </w:r>
          </w:p>
        </w:tc>
        <w:tc>
          <w:tcPr>
            <w:tcW w:type="dxa" w:w="1728"/>
          </w:tcPr>
          <w:p>
            <w:r>
              <w:rPr>
                <w:rFonts w:ascii="Times New Roman" w:hAnsi="Times New Roman"/>
                <w:sz w:val="18"/>
              </w:rPr>
              <w:t>SNV, MSC</w:t>
            </w:r>
          </w:p>
        </w:tc>
        <w:tc>
          <w:tcPr>
            <w:tcW w:type="dxa" w:w="1728"/>
          </w:tcPr>
          <w:p>
            <w:r>
              <w:rPr>
                <w:rFonts w:ascii="Times New Roman" w:hAnsi="Times New Roman"/>
                <w:sz w:val="18"/>
              </w:rPr>
              <w:t>Remove particle size effects</w:t>
            </w:r>
          </w:p>
        </w:tc>
        <w:tc>
          <w:tcPr>
            <w:tcW w:type="dxa" w:w="1728"/>
          </w:tcPr>
          <w:p>
            <w:r>
              <w:rPr>
                <w:rFonts w:ascii="Times New Roman" w:hAnsi="Times New Roman"/>
                <w:sz w:val="18"/>
              </w:rPr>
              <w:t>+8–15% R² improvement</w:t>
            </w:r>
          </w:p>
        </w:tc>
        <w:tc>
          <w:tcPr>
            <w:tcW w:type="dxa" w:w="1728"/>
          </w:tcPr>
          <w:p>
            <w:r>
              <w:rPr>
                <w:rFonts w:ascii="Times New Roman" w:hAnsi="Times New Roman"/>
                <w:sz w:val="18"/>
              </w:rPr>
              <w:t>VIS-NIR, MIR</w:t>
            </w:r>
          </w:p>
        </w:tc>
      </w:tr>
      <w:tr>
        <w:tc>
          <w:tcPr>
            <w:tcW w:type="dxa" w:w="1728"/>
          </w:tcPr>
          <w:p>
            <w:r>
              <w:rPr>
                <w:rFonts w:ascii="Times New Roman" w:hAnsi="Times New Roman"/>
                <w:sz w:val="18"/>
              </w:rPr>
              <w:t>Derivative transform</w:t>
            </w:r>
          </w:p>
        </w:tc>
        <w:tc>
          <w:tcPr>
            <w:tcW w:type="dxa" w:w="1728"/>
          </w:tcPr>
          <w:p>
            <w:r>
              <w:rPr>
                <w:rFonts w:ascii="Times New Roman" w:hAnsi="Times New Roman"/>
                <w:sz w:val="18"/>
              </w:rPr>
              <w:t>1st/2nd derivative</w:t>
            </w:r>
          </w:p>
        </w:tc>
        <w:tc>
          <w:tcPr>
            <w:tcW w:type="dxa" w:w="1728"/>
          </w:tcPr>
          <w:p>
            <w:r>
              <w:rPr>
                <w:rFonts w:ascii="Times New Roman" w:hAnsi="Times New Roman"/>
                <w:sz w:val="18"/>
              </w:rPr>
              <w:t>Baseline removal, feature enhancement</w:t>
            </w:r>
          </w:p>
        </w:tc>
        <w:tc>
          <w:tcPr>
            <w:tcW w:type="dxa" w:w="1728"/>
          </w:tcPr>
          <w:p>
            <w:r>
              <w:rPr>
                <w:rFonts w:ascii="Times New Roman" w:hAnsi="Times New Roman"/>
                <w:sz w:val="18"/>
              </w:rPr>
              <w:t>+5–12% R² improvement</w:t>
            </w:r>
          </w:p>
        </w:tc>
        <w:tc>
          <w:tcPr>
            <w:tcW w:type="dxa" w:w="1728"/>
          </w:tcPr>
          <w:p>
            <w:r>
              <w:rPr>
                <w:rFonts w:ascii="Times New Roman" w:hAnsi="Times New Roman"/>
                <w:sz w:val="18"/>
              </w:rPr>
              <w:t>VIS-NIR, hyperspectral</w:t>
            </w:r>
          </w:p>
        </w:tc>
      </w:tr>
      <w:tr>
        <w:tc>
          <w:tcPr>
            <w:tcW w:type="dxa" w:w="1728"/>
          </w:tcPr>
          <w:p>
            <w:r>
              <w:rPr>
                <w:rFonts w:ascii="Times New Roman" w:hAnsi="Times New Roman"/>
                <w:sz w:val="18"/>
              </w:rPr>
              <w:t>Dimensionality reduction</w:t>
            </w:r>
          </w:p>
        </w:tc>
        <w:tc>
          <w:tcPr>
            <w:tcW w:type="dxa" w:w="1728"/>
          </w:tcPr>
          <w:p>
            <w:r>
              <w:rPr>
                <w:rFonts w:ascii="Times New Roman" w:hAnsi="Times New Roman"/>
                <w:sz w:val="18"/>
              </w:rPr>
              <w:t>PCA</w:t>
            </w:r>
          </w:p>
        </w:tc>
        <w:tc>
          <w:tcPr>
            <w:tcW w:type="dxa" w:w="1728"/>
          </w:tcPr>
          <w:p>
            <w:r>
              <w:rPr>
                <w:rFonts w:ascii="Times New Roman" w:hAnsi="Times New Roman"/>
                <w:sz w:val="18"/>
              </w:rPr>
              <w:t>Remove multicollinearity</w:t>
            </w:r>
          </w:p>
        </w:tc>
        <w:tc>
          <w:tcPr>
            <w:tcW w:type="dxa" w:w="1728"/>
          </w:tcPr>
          <w:p>
            <w:r>
              <w:rPr>
                <w:rFonts w:ascii="Times New Roman" w:hAnsi="Times New Roman"/>
                <w:sz w:val="18"/>
              </w:rPr>
              <w:t>Reduces overfitting by 10–20%</w:t>
            </w:r>
          </w:p>
        </w:tc>
        <w:tc>
          <w:tcPr>
            <w:tcW w:type="dxa" w:w="1728"/>
          </w:tcPr>
          <w:p>
            <w:r>
              <w:rPr>
                <w:rFonts w:ascii="Times New Roman" w:hAnsi="Times New Roman"/>
                <w:sz w:val="18"/>
              </w:rPr>
              <w:t>High-dim spectral data</w:t>
            </w:r>
          </w:p>
        </w:tc>
      </w:tr>
      <w:tr>
        <w:tc>
          <w:tcPr>
            <w:tcW w:type="dxa" w:w="1728"/>
          </w:tcPr>
          <w:p>
            <w:r>
              <w:rPr>
                <w:rFonts w:ascii="Times New Roman" w:hAnsi="Times New Roman"/>
                <w:sz w:val="18"/>
              </w:rPr>
              <w:t>Regression-based reduction</w:t>
            </w:r>
          </w:p>
        </w:tc>
        <w:tc>
          <w:tcPr>
            <w:tcW w:type="dxa" w:w="1728"/>
          </w:tcPr>
          <w:p>
            <w:r>
              <w:rPr>
                <w:rFonts w:ascii="Times New Roman" w:hAnsi="Times New Roman"/>
                <w:sz w:val="18"/>
              </w:rPr>
              <w:t>PLSR</w:t>
            </w:r>
          </w:p>
        </w:tc>
        <w:tc>
          <w:tcPr>
            <w:tcW w:type="dxa" w:w="1728"/>
          </w:tcPr>
          <w:p>
            <w:r>
              <w:rPr>
                <w:rFonts w:ascii="Times New Roman" w:hAnsi="Times New Roman"/>
                <w:sz w:val="18"/>
              </w:rPr>
              <w:t>Simultaneous reduction + regression</w:t>
            </w:r>
          </w:p>
        </w:tc>
        <w:tc>
          <w:tcPr>
            <w:tcW w:type="dxa" w:w="1728"/>
          </w:tcPr>
          <w:p>
            <w:r>
              <w:rPr>
                <w:rFonts w:ascii="Times New Roman" w:hAnsi="Times New Roman"/>
                <w:sz w:val="18"/>
              </w:rPr>
              <w:t>R²: 0.85–0.93 for SOC</w:t>
            </w:r>
          </w:p>
        </w:tc>
        <w:tc>
          <w:tcPr>
            <w:tcW w:type="dxa" w:w="1728"/>
          </w:tcPr>
          <w:p>
            <w:r>
              <w:rPr>
                <w:rFonts w:ascii="Times New Roman" w:hAnsi="Times New Roman"/>
                <w:sz w:val="18"/>
              </w:rPr>
              <w:t>VIS-NIR, MIR</w:t>
            </w:r>
          </w:p>
        </w:tc>
      </w:tr>
      <w:tr>
        <w:tc>
          <w:tcPr>
            <w:tcW w:type="dxa" w:w="1728"/>
          </w:tcPr>
          <w:p>
            <w:r>
              <w:rPr>
                <w:rFonts w:ascii="Times New Roman" w:hAnsi="Times New Roman"/>
                <w:sz w:val="18"/>
              </w:rPr>
              <w:t>Non-linear reduction</w:t>
            </w:r>
          </w:p>
        </w:tc>
        <w:tc>
          <w:tcPr>
            <w:tcW w:type="dxa" w:w="1728"/>
          </w:tcPr>
          <w:p>
            <w:r>
              <w:rPr>
                <w:rFonts w:ascii="Times New Roman" w:hAnsi="Times New Roman"/>
                <w:sz w:val="18"/>
              </w:rPr>
              <w:t>Autoencoder/VAE</w:t>
            </w:r>
          </w:p>
        </w:tc>
        <w:tc>
          <w:tcPr>
            <w:tcW w:type="dxa" w:w="1728"/>
          </w:tcPr>
          <w:p>
            <w:r>
              <w:rPr>
                <w:rFonts w:ascii="Times New Roman" w:hAnsi="Times New Roman"/>
                <w:sz w:val="18"/>
              </w:rPr>
              <w:t>Capture non-linear spectral patterns</w:t>
            </w:r>
          </w:p>
        </w:tc>
        <w:tc>
          <w:tcPr>
            <w:tcW w:type="dxa" w:w="1728"/>
          </w:tcPr>
          <w:p>
            <w:r>
              <w:rPr>
                <w:rFonts w:ascii="Times New Roman" w:hAnsi="Times New Roman"/>
                <w:sz w:val="18"/>
              </w:rPr>
              <w:t>+10–18% over PCA for complex soils</w:t>
            </w:r>
          </w:p>
        </w:tc>
        <w:tc>
          <w:tcPr>
            <w:tcW w:type="dxa" w:w="1728"/>
          </w:tcPr>
          <w:p>
            <w:r>
              <w:rPr>
                <w:rFonts w:ascii="Times New Roman" w:hAnsi="Times New Roman"/>
                <w:sz w:val="18"/>
              </w:rPr>
              <w:t>Hyperspectral CNN input</w:t>
            </w:r>
          </w:p>
        </w:tc>
      </w:tr>
      <w:tr>
        <w:tc>
          <w:tcPr>
            <w:tcW w:type="dxa" w:w="1728"/>
          </w:tcPr>
          <w:p>
            <w:r>
              <w:rPr>
                <w:rFonts w:ascii="Times New Roman" w:hAnsi="Times New Roman"/>
                <w:sz w:val="18"/>
              </w:rPr>
              <w:t>Band selection</w:t>
            </w:r>
          </w:p>
        </w:tc>
        <w:tc>
          <w:tcPr>
            <w:tcW w:type="dxa" w:w="1728"/>
          </w:tcPr>
          <w:p>
            <w:r>
              <w:rPr>
                <w:rFonts w:ascii="Times New Roman" w:hAnsi="Times New Roman"/>
                <w:sz w:val="18"/>
              </w:rPr>
              <w:t>Genetic algorithm, RF importance</w:t>
            </w:r>
          </w:p>
        </w:tc>
        <w:tc>
          <w:tcPr>
            <w:tcW w:type="dxa" w:w="1728"/>
          </w:tcPr>
          <w:p>
            <w:r>
              <w:rPr>
                <w:rFonts w:ascii="Times New Roman" w:hAnsi="Times New Roman"/>
                <w:sz w:val="18"/>
              </w:rPr>
              <w:t>Select informative bands</w:t>
            </w:r>
          </w:p>
        </w:tc>
        <w:tc>
          <w:tcPr>
            <w:tcW w:type="dxa" w:w="1728"/>
          </w:tcPr>
          <w:p>
            <w:r>
              <w:rPr>
                <w:rFonts w:ascii="Times New Roman" w:hAnsi="Times New Roman"/>
                <w:sz w:val="18"/>
              </w:rPr>
              <w:t>Reduces model size by 60–80%</w:t>
            </w:r>
          </w:p>
        </w:tc>
        <w:tc>
          <w:tcPr>
            <w:tcW w:type="dxa" w:w="1728"/>
          </w:tcPr>
          <w:p>
            <w:r>
              <w:rPr>
                <w:rFonts w:ascii="Times New Roman" w:hAnsi="Times New Roman"/>
                <w:sz w:val="18"/>
              </w:rPr>
              <w:t>Deployment-constrained systems</w:t>
            </w:r>
          </w:p>
        </w:tc>
      </w:tr>
    </w:tbl>
    <w:p>
      <w:pPr>
        <w:jc w:val="center"/>
      </w:pPr>
      <w:r>
        <w:rPr>
          <w:rFonts w:ascii="Times New Roman" w:hAnsi="Times New Roman"/>
          <w:i/>
          <w:sz w:val="18"/>
        </w:rPr>
        <w:t>Table 5: Spectroscopic preprocessing pipeline for soil health diagnostics — methods, purposes, and effects on ML model performance.</w:t>
      </w:r>
    </w:p>
    <w:p/>
    <w:p>
      <w:pPr>
        <w:pStyle w:val="Heading3"/>
      </w:pPr>
      <w:r>
        <w:rPr>
          <w:rFonts w:ascii="Times New Roman" w:hAnsi="Times New Roman"/>
          <w:b/>
          <w:color w:val="000000"/>
          <w:sz w:val="22"/>
        </w:rPr>
        <w:t>2.2.4 Data Fusion and Real-World Spectral Constraints: Moisture, Roughness and Vegetation Effects</w:t>
      </w:r>
    </w:p>
    <w:p>
      <w:pPr>
        <w:spacing w:after="80" w:before="40"/>
        <w:jc w:val="both"/>
      </w:pPr>
      <w:r>
        <w:rPr>
          <w:rFonts w:ascii="Times New Roman" w:hAnsi="Times New Roman"/>
          <w:b w:val="0"/>
          <w:i w:val="0"/>
          <w:sz w:val="22"/>
        </w:rPr>
        <w:t>The integration of multiple spectroscopic techniques along with data fusion methodologies has the potential to improve soil health predictions. Research showed that when VIS-NIR and MIR spectroscopy data were combined, predictions for a range of soil properties were more accurate than solo use, with R² improvements of 5–12% (Gozukara et al., 2025; Yin et al., 2023; Viscarra Rossel et al., 2016). However, the effects of plant cover, surface roughness and soil moisture on spectral fingerprints make RS and spectroscopic soil diagnostics challenging. Soil moisture has a significant influence on spectral reflectance especially in the NIR region, potentially reducing prediction accuracy by 15–30% if not corrected (Kubiak et al., 2024; Nocita et al., 2015). Advanced ML techniques such as domain adaptation and transfer learning offer promise in overcoming these obstacles by identifying robust connections for confounding variables (Padarian et al., 2020).</w:t>
      </w:r>
    </w:p>
    <w:p>
      <w:pPr>
        <w:pStyle w:val="Heading2"/>
      </w:pPr>
      <w:r>
        <w:rPr>
          <w:rFonts w:ascii="Times New Roman" w:hAnsi="Times New Roman"/>
          <w:b/>
          <w:color w:val="000000"/>
          <w:sz w:val="24"/>
        </w:rPr>
        <w:t>2.3 Internet of Things (IoT) and Sensor Networks for Real-Time Soil Monitoring</w:t>
      </w:r>
    </w:p>
    <w:p>
      <w:pPr>
        <w:pStyle w:val="Heading3"/>
      </w:pPr>
      <w:r>
        <w:rPr>
          <w:rFonts w:ascii="Times New Roman" w:hAnsi="Times New Roman"/>
          <w:b/>
          <w:color w:val="000000"/>
          <w:sz w:val="22"/>
        </w:rPr>
        <w:t>2.3.1 IoT-Enabled Soil Monitoring Systems</w:t>
      </w:r>
    </w:p>
    <w:p>
      <w:pPr>
        <w:spacing w:after="80" w:before="40"/>
        <w:jc w:val="both"/>
      </w:pPr>
      <w:r>
        <w:rPr>
          <w:rFonts w:ascii="Times New Roman" w:hAnsi="Times New Roman"/>
          <w:b w:val="0"/>
          <w:i w:val="0"/>
          <w:sz w:val="22"/>
        </w:rPr>
        <w:t>The widespread adoption of IoT systems has allowed the establishment of distributed sensor networks for constant, real-time tracking of soil conditions. IoT-based soil monitoring systems incorporate a variety of sensors that measure soil moisture, temperature, electrical conductivity, pH, and nutrient levels, and wirelessly communicate data to cloud-based services for AI-driven analyses and decision support (Pandey et al., 2025; Samarpita &amp; Satpathy, 2025). Such systems offer a paradigm change from periodic, point-based soil sampling to continuous, geographically dispersed monitoring that captures temporal dynamics and spatial variation in soil parameters (Zeng et al., 2025; Kamilaris et al., 2017). Adeyemi et al. (2017) demonstrated that IoT-based soil moisture monitoring paired with machine learning algorithms can optimize irrigation schedules, reducing water consumption by approximately 20–35% while preserving crop output.</w:t>
      </w:r>
    </w:p>
    <w:p>
      <w:pPr>
        <w:pStyle w:val="Heading3"/>
      </w:pPr>
      <w:r>
        <w:rPr>
          <w:rFonts w:ascii="Times New Roman" w:hAnsi="Times New Roman"/>
          <w:b/>
          <w:color w:val="000000"/>
          <w:sz w:val="22"/>
        </w:rPr>
        <w:t>2.3.2 In-Situ Soil Sensors (Electrochemical and Optical)</w:t>
      </w:r>
    </w:p>
    <w:p>
      <w:pPr>
        <w:spacing w:after="80" w:before="40"/>
        <w:jc w:val="both"/>
      </w:pPr>
      <w:r>
        <w:rPr>
          <w:rFonts w:ascii="Times New Roman" w:hAnsi="Times New Roman"/>
          <w:b w:val="0"/>
          <w:i w:val="0"/>
          <w:sz w:val="22"/>
        </w:rPr>
        <w:t>Electrochemical sensors for monitoring soil pH, electrical conductivity (EC) and nutrient concentrations have made substantial advances, with miniaturized, inexpensive devices allowing for dense sensor distribution. Soil EC sensors give data on soil salinity, moisture content, and clay content, which serve as indicators of soil health (Ahmad et al., 2025; Loconsole et al., 2025). Optical sensors, such as spectrophotometers and fluorescence sensors, allow for in-situ measurements of soil organic matter, nitrate, and other characteristics. Fluorescence-based sensors exhibit potential in detecting soil organic matter and microbial activity, providing information on soil biological state (Hutengs &amp; Vohland, 2016). The combination of optical sensors with machine learning algorithms allows for real-time soil property prediction and the identification of anomalies (Kamilaris et al., 2017). Low-power wide-area network (LPWAN) technologies, such as LoRaWAN and NB-IoT, have become viable alternatives for agricultural applications, providing extended connectivity with minimal power usage (Ojha et al., 2015).</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val="clear" w:color="auto" w:fill="D9E1F2"/>
          </w:tcPr>
          <w:p>
            <w:r>
              <w:rPr>
                <w:rFonts w:ascii="Times New Roman" w:hAnsi="Times New Roman"/>
                <w:b/>
                <w:sz w:val="18"/>
              </w:rPr>
              <w:t>Sensor Type</w:t>
            </w:r>
          </w:p>
        </w:tc>
        <w:tc>
          <w:tcPr>
            <w:tcW w:type="dxa" w:w="1728"/>
            <w:shd w:val="clear" w:color="auto" w:fill="D9E1F2"/>
          </w:tcPr>
          <w:p>
            <w:r>
              <w:rPr>
                <w:rFonts w:ascii="Times New Roman" w:hAnsi="Times New Roman"/>
                <w:b/>
                <w:sz w:val="18"/>
              </w:rPr>
              <w:t>Measured Parameters</w:t>
            </w:r>
          </w:p>
        </w:tc>
        <w:tc>
          <w:tcPr>
            <w:tcW w:type="dxa" w:w="1728"/>
            <w:shd w:val="clear" w:color="auto" w:fill="D9E1F2"/>
          </w:tcPr>
          <w:p>
            <w:r>
              <w:rPr>
                <w:rFonts w:ascii="Times New Roman" w:hAnsi="Times New Roman"/>
                <w:b/>
                <w:sz w:val="18"/>
              </w:rPr>
              <w:t>Accuracy</w:t>
            </w:r>
          </w:p>
        </w:tc>
        <w:tc>
          <w:tcPr>
            <w:tcW w:type="dxa" w:w="1728"/>
            <w:shd w:val="clear" w:color="auto" w:fill="D9E1F2"/>
          </w:tcPr>
          <w:p>
            <w:r>
              <w:rPr>
                <w:rFonts w:ascii="Times New Roman" w:hAnsi="Times New Roman"/>
                <w:b/>
                <w:sz w:val="18"/>
              </w:rPr>
              <w:t>Limitations</w:t>
            </w:r>
          </w:p>
        </w:tc>
        <w:tc>
          <w:tcPr>
            <w:tcW w:type="dxa" w:w="1728"/>
            <w:shd w:val="clear" w:color="auto" w:fill="D9E1F2"/>
          </w:tcPr>
          <w:p>
            <w:r>
              <w:rPr>
                <w:rFonts w:ascii="Times New Roman" w:hAnsi="Times New Roman"/>
                <w:b/>
                <w:sz w:val="18"/>
              </w:rPr>
              <w:t>AI Integration</w:t>
            </w:r>
          </w:p>
        </w:tc>
      </w:tr>
      <w:tr>
        <w:tc>
          <w:tcPr>
            <w:tcW w:type="dxa" w:w="1728"/>
          </w:tcPr>
          <w:p>
            <w:r>
              <w:rPr>
                <w:rFonts w:ascii="Times New Roman" w:hAnsi="Times New Roman"/>
                <w:sz w:val="18"/>
              </w:rPr>
              <w:t>Capacitance probe</w:t>
            </w:r>
          </w:p>
        </w:tc>
        <w:tc>
          <w:tcPr>
            <w:tcW w:type="dxa" w:w="1728"/>
          </w:tcPr>
          <w:p>
            <w:r>
              <w:rPr>
                <w:rFonts w:ascii="Times New Roman" w:hAnsi="Times New Roman"/>
                <w:sz w:val="18"/>
              </w:rPr>
              <w:t>Soil moisture</w:t>
            </w:r>
          </w:p>
        </w:tc>
        <w:tc>
          <w:tcPr>
            <w:tcW w:type="dxa" w:w="1728"/>
          </w:tcPr>
          <w:p>
            <w:r>
              <w:rPr>
                <w:rFonts w:ascii="Times New Roman" w:hAnsi="Times New Roman"/>
                <w:sz w:val="18"/>
              </w:rPr>
              <w:t>±2–3% VWC</w:t>
            </w:r>
          </w:p>
        </w:tc>
        <w:tc>
          <w:tcPr>
            <w:tcW w:type="dxa" w:w="1728"/>
          </w:tcPr>
          <w:p>
            <w:r>
              <w:rPr>
                <w:rFonts w:ascii="Times New Roman" w:hAnsi="Times New Roman"/>
                <w:sz w:val="18"/>
              </w:rPr>
              <w:t>Soil-specific calibration</w:t>
            </w:r>
          </w:p>
        </w:tc>
        <w:tc>
          <w:tcPr>
            <w:tcW w:type="dxa" w:w="1728"/>
          </w:tcPr>
          <w:p>
            <w:r>
              <w:rPr>
                <w:rFonts w:ascii="Times New Roman" w:hAnsi="Times New Roman"/>
                <w:sz w:val="18"/>
              </w:rPr>
              <w:t>LSTM for temporal prediction</w:t>
            </w:r>
          </w:p>
        </w:tc>
      </w:tr>
      <w:tr>
        <w:tc>
          <w:tcPr>
            <w:tcW w:type="dxa" w:w="1728"/>
          </w:tcPr>
          <w:p>
            <w:r>
              <w:rPr>
                <w:rFonts w:ascii="Times New Roman" w:hAnsi="Times New Roman"/>
                <w:sz w:val="18"/>
              </w:rPr>
              <w:t>TDR sensor</w:t>
            </w:r>
          </w:p>
        </w:tc>
        <w:tc>
          <w:tcPr>
            <w:tcW w:type="dxa" w:w="1728"/>
          </w:tcPr>
          <w:p>
            <w:r>
              <w:rPr>
                <w:rFonts w:ascii="Times New Roman" w:hAnsi="Times New Roman"/>
                <w:sz w:val="18"/>
              </w:rPr>
              <w:t>Moisture, EC</w:t>
            </w:r>
          </w:p>
        </w:tc>
        <w:tc>
          <w:tcPr>
            <w:tcW w:type="dxa" w:w="1728"/>
          </w:tcPr>
          <w:p>
            <w:r>
              <w:rPr>
                <w:rFonts w:ascii="Times New Roman" w:hAnsi="Times New Roman"/>
                <w:sz w:val="18"/>
              </w:rPr>
              <w:t>±1–2% VWC</w:t>
            </w:r>
          </w:p>
        </w:tc>
        <w:tc>
          <w:tcPr>
            <w:tcW w:type="dxa" w:w="1728"/>
          </w:tcPr>
          <w:p>
            <w:r>
              <w:rPr>
                <w:rFonts w:ascii="Times New Roman" w:hAnsi="Times New Roman"/>
                <w:sz w:val="18"/>
              </w:rPr>
              <w:t>Cost, installation depth</w:t>
            </w:r>
          </w:p>
        </w:tc>
        <w:tc>
          <w:tcPr>
            <w:tcW w:type="dxa" w:w="1728"/>
          </w:tcPr>
          <w:p>
            <w:r>
              <w:rPr>
                <w:rFonts w:ascii="Times New Roman" w:hAnsi="Times New Roman"/>
                <w:sz w:val="18"/>
              </w:rPr>
              <w:t>ANN for multi-property</w:t>
            </w:r>
          </w:p>
        </w:tc>
      </w:tr>
      <w:tr>
        <w:tc>
          <w:tcPr>
            <w:tcW w:type="dxa" w:w="1728"/>
          </w:tcPr>
          <w:p>
            <w:r>
              <w:rPr>
                <w:rFonts w:ascii="Times New Roman" w:hAnsi="Times New Roman"/>
                <w:sz w:val="18"/>
              </w:rPr>
              <w:t>Electrochemical (pH)</w:t>
            </w:r>
          </w:p>
        </w:tc>
        <w:tc>
          <w:tcPr>
            <w:tcW w:type="dxa" w:w="1728"/>
          </w:tcPr>
          <w:p>
            <w:r>
              <w:rPr>
                <w:rFonts w:ascii="Times New Roman" w:hAnsi="Times New Roman"/>
                <w:sz w:val="18"/>
              </w:rPr>
              <w:t>Soil pH</w:t>
            </w:r>
          </w:p>
        </w:tc>
        <w:tc>
          <w:tcPr>
            <w:tcW w:type="dxa" w:w="1728"/>
          </w:tcPr>
          <w:p>
            <w:r>
              <w:rPr>
                <w:rFonts w:ascii="Times New Roman" w:hAnsi="Times New Roman"/>
                <w:sz w:val="18"/>
              </w:rPr>
              <w:t>±0.1–0.2 pH units</w:t>
            </w:r>
          </w:p>
        </w:tc>
        <w:tc>
          <w:tcPr>
            <w:tcW w:type="dxa" w:w="1728"/>
          </w:tcPr>
          <w:p>
            <w:r>
              <w:rPr>
                <w:rFonts w:ascii="Times New Roman" w:hAnsi="Times New Roman"/>
                <w:sz w:val="18"/>
              </w:rPr>
              <w:t>Drift, fouling</w:t>
            </w:r>
          </w:p>
        </w:tc>
        <w:tc>
          <w:tcPr>
            <w:tcW w:type="dxa" w:w="1728"/>
          </w:tcPr>
          <w:p>
            <w:r>
              <w:rPr>
                <w:rFonts w:ascii="Times New Roman" w:hAnsi="Times New Roman"/>
                <w:sz w:val="18"/>
              </w:rPr>
              <w:t>RF for anomaly detection</w:t>
            </w:r>
          </w:p>
        </w:tc>
      </w:tr>
      <w:tr>
        <w:tc>
          <w:tcPr>
            <w:tcW w:type="dxa" w:w="1728"/>
          </w:tcPr>
          <w:p>
            <w:r>
              <w:rPr>
                <w:rFonts w:ascii="Times New Roman" w:hAnsi="Times New Roman"/>
                <w:sz w:val="18"/>
              </w:rPr>
              <w:t>VIS-NIR optical</w:t>
            </w:r>
          </w:p>
        </w:tc>
        <w:tc>
          <w:tcPr>
            <w:tcW w:type="dxa" w:w="1728"/>
          </w:tcPr>
          <w:p>
            <w:r>
              <w:rPr>
                <w:rFonts w:ascii="Times New Roman" w:hAnsi="Times New Roman"/>
                <w:sz w:val="18"/>
              </w:rPr>
              <w:t>SOC, clay, moisture</w:t>
            </w:r>
          </w:p>
        </w:tc>
        <w:tc>
          <w:tcPr>
            <w:tcW w:type="dxa" w:w="1728"/>
          </w:tcPr>
          <w:p>
            <w:r>
              <w:rPr>
                <w:rFonts w:ascii="Times New Roman" w:hAnsi="Times New Roman"/>
                <w:sz w:val="18"/>
              </w:rPr>
              <w:t>R²: 0.80–0.92</w:t>
            </w:r>
          </w:p>
        </w:tc>
        <w:tc>
          <w:tcPr>
            <w:tcW w:type="dxa" w:w="1728"/>
          </w:tcPr>
          <w:p>
            <w:r>
              <w:rPr>
                <w:rFonts w:ascii="Times New Roman" w:hAnsi="Times New Roman"/>
                <w:sz w:val="18"/>
              </w:rPr>
              <w:t>Optical window fouling</w:t>
            </w:r>
          </w:p>
        </w:tc>
        <w:tc>
          <w:tcPr>
            <w:tcW w:type="dxa" w:w="1728"/>
          </w:tcPr>
          <w:p>
            <w:r>
              <w:rPr>
                <w:rFonts w:ascii="Times New Roman" w:hAnsi="Times New Roman"/>
                <w:sz w:val="18"/>
              </w:rPr>
              <w:t>CNN, PLSR</w:t>
            </w:r>
          </w:p>
        </w:tc>
      </w:tr>
      <w:tr>
        <w:tc>
          <w:tcPr>
            <w:tcW w:type="dxa" w:w="1728"/>
          </w:tcPr>
          <w:p>
            <w:r>
              <w:rPr>
                <w:rFonts w:ascii="Times New Roman" w:hAnsi="Times New Roman"/>
                <w:sz w:val="18"/>
              </w:rPr>
              <w:t>Fluorescence sensor</w:t>
            </w:r>
          </w:p>
        </w:tc>
        <w:tc>
          <w:tcPr>
            <w:tcW w:type="dxa" w:w="1728"/>
          </w:tcPr>
          <w:p>
            <w:r>
              <w:rPr>
                <w:rFonts w:ascii="Times New Roman" w:hAnsi="Times New Roman"/>
                <w:sz w:val="18"/>
              </w:rPr>
              <w:t>OM, microbial activity</w:t>
            </w:r>
          </w:p>
        </w:tc>
        <w:tc>
          <w:tcPr>
            <w:tcW w:type="dxa" w:w="1728"/>
          </w:tcPr>
          <w:p>
            <w:r>
              <w:rPr>
                <w:rFonts w:ascii="Times New Roman" w:hAnsi="Times New Roman"/>
                <w:sz w:val="18"/>
              </w:rPr>
              <w:t>Semi-quantitative</w:t>
            </w:r>
          </w:p>
        </w:tc>
        <w:tc>
          <w:tcPr>
            <w:tcW w:type="dxa" w:w="1728"/>
          </w:tcPr>
          <w:p>
            <w:r>
              <w:rPr>
                <w:rFonts w:ascii="Times New Roman" w:hAnsi="Times New Roman"/>
                <w:sz w:val="18"/>
              </w:rPr>
              <w:t>Interference from minerals</w:t>
            </w:r>
          </w:p>
        </w:tc>
        <w:tc>
          <w:tcPr>
            <w:tcW w:type="dxa" w:w="1728"/>
          </w:tcPr>
          <w:p>
            <w:r>
              <w:rPr>
                <w:rFonts w:ascii="Times New Roman" w:hAnsi="Times New Roman"/>
                <w:sz w:val="18"/>
              </w:rPr>
              <w:t>ANN classification</w:t>
            </w:r>
          </w:p>
        </w:tc>
      </w:tr>
      <w:tr>
        <w:tc>
          <w:tcPr>
            <w:tcW w:type="dxa" w:w="1728"/>
          </w:tcPr>
          <w:p>
            <w:r>
              <w:rPr>
                <w:rFonts w:ascii="Times New Roman" w:hAnsi="Times New Roman"/>
                <w:sz w:val="18"/>
              </w:rPr>
              <w:t>XRF portable</w:t>
            </w:r>
          </w:p>
        </w:tc>
        <w:tc>
          <w:tcPr>
            <w:tcW w:type="dxa" w:w="1728"/>
          </w:tcPr>
          <w:p>
            <w:r>
              <w:rPr>
                <w:rFonts w:ascii="Times New Roman" w:hAnsi="Times New Roman"/>
                <w:sz w:val="18"/>
              </w:rPr>
              <w:t>Heavy metals, elements</w:t>
            </w:r>
          </w:p>
        </w:tc>
        <w:tc>
          <w:tcPr>
            <w:tcW w:type="dxa" w:w="1728"/>
          </w:tcPr>
          <w:p>
            <w:r>
              <w:rPr>
                <w:rFonts w:ascii="Times New Roman" w:hAnsi="Times New Roman"/>
                <w:sz w:val="18"/>
              </w:rPr>
              <w:t>±5–15% for metals</w:t>
            </w:r>
          </w:p>
        </w:tc>
        <w:tc>
          <w:tcPr>
            <w:tcW w:type="dxa" w:w="1728"/>
          </w:tcPr>
          <w:p>
            <w:r>
              <w:rPr>
                <w:rFonts w:ascii="Times New Roman" w:hAnsi="Times New Roman"/>
                <w:sz w:val="18"/>
              </w:rPr>
              <w:t>Light element limitation</w:t>
            </w:r>
          </w:p>
        </w:tc>
        <w:tc>
          <w:tcPr>
            <w:tcW w:type="dxa" w:w="1728"/>
          </w:tcPr>
          <w:p>
            <w:r>
              <w:rPr>
                <w:rFonts w:ascii="Times New Roman" w:hAnsi="Times New Roman"/>
                <w:sz w:val="18"/>
              </w:rPr>
              <w:t>SVM, RF</w:t>
            </w:r>
          </w:p>
        </w:tc>
      </w:tr>
      <w:tr>
        <w:tc>
          <w:tcPr>
            <w:tcW w:type="dxa" w:w="1728"/>
          </w:tcPr>
          <w:p>
            <w:r>
              <w:rPr>
                <w:rFonts w:ascii="Times New Roman" w:hAnsi="Times New Roman"/>
                <w:sz w:val="18"/>
              </w:rPr>
              <w:t>LIBS</w:t>
            </w:r>
          </w:p>
        </w:tc>
        <w:tc>
          <w:tcPr>
            <w:tcW w:type="dxa" w:w="1728"/>
          </w:tcPr>
          <w:p>
            <w:r>
              <w:rPr>
                <w:rFonts w:ascii="Times New Roman" w:hAnsi="Times New Roman"/>
                <w:sz w:val="18"/>
              </w:rPr>
              <w:t>Elemental composition</w:t>
            </w:r>
          </w:p>
        </w:tc>
        <w:tc>
          <w:tcPr>
            <w:tcW w:type="dxa" w:w="1728"/>
          </w:tcPr>
          <w:p>
            <w:r>
              <w:rPr>
                <w:rFonts w:ascii="Times New Roman" w:hAnsi="Times New Roman"/>
                <w:sz w:val="18"/>
              </w:rPr>
              <w:t>±3–10%</w:t>
            </w:r>
          </w:p>
        </w:tc>
        <w:tc>
          <w:tcPr>
            <w:tcW w:type="dxa" w:w="1728"/>
          </w:tcPr>
          <w:p>
            <w:r>
              <w:rPr>
                <w:rFonts w:ascii="Times New Roman" w:hAnsi="Times New Roman"/>
                <w:sz w:val="18"/>
              </w:rPr>
              <w:t>Standardization issues</w:t>
            </w:r>
          </w:p>
        </w:tc>
        <w:tc>
          <w:tcPr>
            <w:tcW w:type="dxa" w:w="1728"/>
          </w:tcPr>
          <w:p>
            <w:r>
              <w:rPr>
                <w:rFonts w:ascii="Times New Roman" w:hAnsi="Times New Roman"/>
                <w:sz w:val="18"/>
              </w:rPr>
              <w:t>SVM, PLS-DA</w:t>
            </w:r>
          </w:p>
        </w:tc>
      </w:tr>
    </w:tbl>
    <w:p>
      <w:pPr>
        <w:jc w:val="center"/>
      </w:pPr>
      <w:r>
        <w:rPr>
          <w:rFonts w:ascii="Times New Roman" w:hAnsi="Times New Roman"/>
          <w:i/>
          <w:sz w:val="18"/>
        </w:rPr>
        <w:t>Table 6: Comparison of in-situ soil sensor technologies for IoT-based monitoring systems. VWC = volumetric water content; OM = organic matter.</w:t>
      </w:r>
    </w:p>
    <w:p/>
    <w:p>
      <w:pPr>
        <w:pStyle w:val="Heading2"/>
      </w:pPr>
      <w:r>
        <w:rPr>
          <w:rFonts w:ascii="Times New Roman" w:hAnsi="Times New Roman"/>
          <w:b/>
          <w:color w:val="000000"/>
          <w:sz w:val="24"/>
        </w:rPr>
        <w:t>2.4 Deep Learning Models and Computer Vision for Soil Image Analysis</w:t>
      </w:r>
    </w:p>
    <w:p>
      <w:pPr>
        <w:pStyle w:val="Heading3"/>
      </w:pPr>
      <w:r>
        <w:rPr>
          <w:rFonts w:ascii="Times New Roman" w:hAnsi="Times New Roman"/>
          <w:b/>
          <w:color w:val="000000"/>
          <w:sz w:val="22"/>
        </w:rPr>
        <w:t>2.4.1 Convolutional Neural Networks for Soil Image Classification</w:t>
      </w:r>
    </w:p>
    <w:p>
      <w:pPr>
        <w:spacing w:after="80" w:before="40"/>
        <w:jc w:val="both"/>
      </w:pPr>
      <w:r>
        <w:rPr>
          <w:rFonts w:ascii="Times New Roman" w:hAnsi="Times New Roman"/>
          <w:b w:val="0"/>
          <w:i w:val="0"/>
          <w:sz w:val="22"/>
        </w:rPr>
        <w:t>Deep learning techniques such as CNNs have greatly impacted image-based soil analysis by enabling automated categorization and attribute prediction. Computer vision algorithms use extensive data of soil visuals (color, texture, structure and aggregate features) to predict soil properties and health condition (Srivastava et al., 2021; Padarian et al., 2019). CNNs have shown excellent performance in soil categorization tasks, automatically training on hierarchical attributes of soil from imagery, thus minimizing the necessity of manual feature engineering (Pandiri et al., 2024). Abeje et al. (2024) reported that CNNs can accurately categorize soil types from digital images with accuracy comparable to professional visual judgement, achieving classification accuracies of 88–95%. Transfer learning techniques using pre-trained CNN architectures like ResNet and VGG facilitate effective soil categorization with minimal training data (Riese et al., 2020). Semantic segmentation networks such as DeepLab and U-Net have been deployed to analyze and identify soil profiles based on image data, providing complete sketches of soil properties and structures (Padarian et al., 2020).</w:t>
      </w:r>
    </w:p>
    <w:p>
      <w:pPr>
        <w:pStyle w:val="Heading3"/>
      </w:pPr>
      <w:r>
        <w:rPr>
          <w:rFonts w:ascii="Times New Roman" w:hAnsi="Times New Roman"/>
          <w:b/>
          <w:color w:val="000000"/>
          <w:sz w:val="22"/>
        </w:rPr>
        <w:t>2.4.2 Beyond CNNs: GAN Augmentation, Transformer and Multimodal Deep Learning</w:t>
      </w:r>
    </w:p>
    <w:p>
      <w:pPr>
        <w:spacing w:after="80" w:before="40"/>
        <w:jc w:val="both"/>
      </w:pPr>
      <w:r>
        <w:rPr>
          <w:rFonts w:ascii="Times New Roman" w:hAnsi="Times New Roman"/>
          <w:b w:val="0"/>
          <w:i w:val="0"/>
          <w:sz w:val="22"/>
        </w:rPr>
        <w:t>Generative adversarial networks (GANs) are a novel technique for soil analysis with significant prospects for data augmentation and synthetic soil image construction. They can generate realistic soil images to supplement limited training datasets, enhancing model performance and generalization (Padarian et al., 2020). Domain adaptation using GANs has promise for transferring models developed in one area to another, solving model transferability difficulties for various soil types and environmental circumstances (Wadoux et al., 2020). Attention mechanisms and transformer architectures are now being used in soil image analysis, improving the model's capacity to identify relevant features within soil images and capture long-range relationships (Youwai and Detcheewa, 2025; Riese et al., 2020). Multi-modal deep learning algorithms integrate data from various sources, including RGB pictures, multispectral imagery, spectroscopic data and environmental factors, improving soil property prediction accuracy by 10–20% over single-source models (Liang et al., 2025; Wadoux et al., 2020).</w:t>
      </w:r>
    </w:p>
    <w:p>
      <w:pPr>
        <w:pStyle w:val="Heading3"/>
      </w:pPr>
      <w:r>
        <w:rPr>
          <w:rFonts w:ascii="Times New Roman" w:hAnsi="Times New Roman"/>
          <w:b/>
          <w:color w:val="000000"/>
          <w:sz w:val="22"/>
        </w:rPr>
        <w:t>2.4.3 Explainable AI for Deep Learning Interpretability: SHAP, LIME, and Grad-CAM</w:t>
      </w:r>
    </w:p>
    <w:p>
      <w:pPr>
        <w:spacing w:after="80" w:before="40"/>
        <w:jc w:val="both"/>
      </w:pPr>
      <w:r>
        <w:rPr>
          <w:rFonts w:ascii="Times New Roman" w:hAnsi="Times New Roman"/>
          <w:b w:val="0"/>
          <w:i w:val="0"/>
          <w:sz w:val="22"/>
        </w:rPr>
        <w:t>Explainable AI approaches are becoming increasingly relevant for comprehending and validating deep learning models in soil science settings. Three principal XAI techniques have been applied to soil diagnostics: SHAP (SHapley Additive ExPlanations), LIME (Local Interpretable Model-agnostic Explanations), and Grad-CAM (Gradient-weighted Class Activation Mapping). Each offers distinct capabilities and is suited to different model types and diagnostic contexts.</w:t>
      </w:r>
    </w:p>
    <w:p>
      <w:pPr>
        <w:spacing w:after="80" w:before="40"/>
        <w:jc w:val="both"/>
      </w:pPr>
      <w:r>
        <w:rPr>
          <w:rFonts w:ascii="Times New Roman" w:hAnsi="Times New Roman"/>
          <w:b w:val="0"/>
          <w:i w:val="0"/>
          <w:sz w:val="22"/>
        </w:rPr>
        <w:t>SHAP values, grounded in cooperative game theory, provide a unified framework for assessing feature importance across all model types. In soil diagnostics, SHAP has been applied to RF and GBM models to identify which spectral bands, environmental covariates, or sensor readings most strongly influence SOC predictions. Novielli et al. (2025) demonstrated that SHAP-based analysis of soil respiration models revealed that temperature and moisture accounted for approximately 45% and 28% of prediction variance respectively, providing actionable insights for climate change mitigation strategies. SHAP values are model-agnostic and globally consistent, making them the preferred choice for tabular and spectral data (Kalasampath et al., 2025; Martini et al., 2021).</w:t>
      </w:r>
    </w:p>
    <w:p>
      <w:pPr>
        <w:spacing w:after="80" w:before="40"/>
        <w:jc w:val="both"/>
      </w:pPr>
      <w:r>
        <w:rPr>
          <w:rFonts w:ascii="Times New Roman" w:hAnsi="Times New Roman"/>
          <w:b w:val="0"/>
          <w:i w:val="0"/>
          <w:sz w:val="22"/>
        </w:rPr>
        <w:t>LIME generates local explanations by fitting simple, interpretable models to mimic complex model behavior near particular predictions (Parisineni &amp; Pal, 2024; Ribeiro et al., 2016). In soil diagnostics, LIME is particularly useful for explaining individual predictions — for example, why a specific soil sample was classified as degraded — making it valuable for farmer-facing decision support tools. However, LIME explanations can be unstable across similar inputs and are computationally expensive for large datasets (Wadoux et al., 2021).</w:t>
      </w:r>
    </w:p>
    <w:p>
      <w:pPr>
        <w:spacing w:after="80" w:before="40"/>
        <w:jc w:val="both"/>
      </w:pPr>
      <w:r>
        <w:rPr>
          <w:rFonts w:ascii="Times New Roman" w:hAnsi="Times New Roman"/>
          <w:b w:val="0"/>
          <w:i w:val="0"/>
          <w:sz w:val="22"/>
        </w:rPr>
        <w:t>Grad-CAM (Gradient-weighted Class Activation Mapping) is specifically designed for CNN-based image analysis and generates visual heatmaps highlighting the image regions most influential for model predictions (Selvaraju et al., 2017). In soil image analysis, Grad-CAM has been applied to identify which textural or structural features of soil images drive classification decisions — for example, highlighting aggregate structure or color patterns associated with high organic matter content. This technique is particularly valuable for validating that CNN models are learning scientifically meaningful soil features rather than spurious correlations (Wadoux et al., 2021; Venkateswara &amp; Padmanaban, 2025). Grad-CAM has also been applied to hyperspectral soil analysis, where it identifies the spectral regions most activated for specific soil property predictions, providing a visual complement to SHAP-based feature importance.</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val="clear" w:color="auto" w:fill="D9E1F2"/>
          </w:tcPr>
          <w:p>
            <w:r>
              <w:rPr>
                <w:rFonts w:ascii="Times New Roman" w:hAnsi="Times New Roman"/>
                <w:b/>
                <w:sz w:val="18"/>
              </w:rPr>
              <w:t>XAI Technique</w:t>
            </w:r>
          </w:p>
        </w:tc>
        <w:tc>
          <w:tcPr>
            <w:tcW w:type="dxa" w:w="1440"/>
            <w:shd w:val="clear" w:color="auto" w:fill="D9E1F2"/>
          </w:tcPr>
          <w:p>
            <w:r>
              <w:rPr>
                <w:rFonts w:ascii="Times New Roman" w:hAnsi="Times New Roman"/>
                <w:b/>
                <w:sz w:val="18"/>
              </w:rPr>
              <w:t>Model Compatibility</w:t>
            </w:r>
          </w:p>
        </w:tc>
        <w:tc>
          <w:tcPr>
            <w:tcW w:type="dxa" w:w="1440"/>
            <w:shd w:val="clear" w:color="auto" w:fill="D9E1F2"/>
          </w:tcPr>
          <w:p>
            <w:r>
              <w:rPr>
                <w:rFonts w:ascii="Times New Roman" w:hAnsi="Times New Roman"/>
                <w:b/>
                <w:sz w:val="18"/>
              </w:rPr>
              <w:t>Output Type</w:t>
            </w:r>
          </w:p>
        </w:tc>
        <w:tc>
          <w:tcPr>
            <w:tcW w:type="dxa" w:w="1440"/>
            <w:shd w:val="clear" w:color="auto" w:fill="D9E1F2"/>
          </w:tcPr>
          <w:p>
            <w:r>
              <w:rPr>
                <w:rFonts w:ascii="Times New Roman" w:hAnsi="Times New Roman"/>
                <w:b/>
                <w:sz w:val="18"/>
              </w:rPr>
              <w:t>Strengths</w:t>
            </w:r>
          </w:p>
        </w:tc>
        <w:tc>
          <w:tcPr>
            <w:tcW w:type="dxa" w:w="1440"/>
            <w:shd w:val="clear" w:color="auto" w:fill="D9E1F2"/>
          </w:tcPr>
          <w:p>
            <w:r>
              <w:rPr>
                <w:rFonts w:ascii="Times New Roman" w:hAnsi="Times New Roman"/>
                <w:b/>
                <w:sz w:val="18"/>
              </w:rPr>
              <w:t>Limitations</w:t>
            </w:r>
          </w:p>
        </w:tc>
        <w:tc>
          <w:tcPr>
            <w:tcW w:type="dxa" w:w="1440"/>
            <w:shd w:val="clear" w:color="auto" w:fill="D9E1F2"/>
          </w:tcPr>
          <w:p>
            <w:r>
              <w:rPr>
                <w:rFonts w:ascii="Times New Roman" w:hAnsi="Times New Roman"/>
                <w:b/>
                <w:sz w:val="18"/>
              </w:rPr>
              <w:t>Application in Soil Diagnostics</w:t>
            </w:r>
          </w:p>
        </w:tc>
      </w:tr>
      <w:tr>
        <w:tc>
          <w:tcPr>
            <w:tcW w:type="dxa" w:w="1440"/>
          </w:tcPr>
          <w:p>
            <w:r>
              <w:rPr>
                <w:rFonts w:ascii="Times New Roman" w:hAnsi="Times New Roman"/>
                <w:sz w:val="18"/>
              </w:rPr>
              <w:t>SHAP</w:t>
            </w:r>
          </w:p>
        </w:tc>
        <w:tc>
          <w:tcPr>
            <w:tcW w:type="dxa" w:w="1440"/>
          </w:tcPr>
          <w:p>
            <w:r>
              <w:rPr>
                <w:rFonts w:ascii="Times New Roman" w:hAnsi="Times New Roman"/>
                <w:sz w:val="18"/>
              </w:rPr>
              <w:t>Model-agnostic (all types)</w:t>
            </w:r>
          </w:p>
        </w:tc>
        <w:tc>
          <w:tcPr>
            <w:tcW w:type="dxa" w:w="1440"/>
          </w:tcPr>
          <w:p>
            <w:r>
              <w:rPr>
                <w:rFonts w:ascii="Times New Roman" w:hAnsi="Times New Roman"/>
                <w:sz w:val="18"/>
              </w:rPr>
              <w:t>Feature importance scores</w:t>
            </w:r>
          </w:p>
        </w:tc>
        <w:tc>
          <w:tcPr>
            <w:tcW w:type="dxa" w:w="1440"/>
          </w:tcPr>
          <w:p>
            <w:r>
              <w:rPr>
                <w:rFonts w:ascii="Times New Roman" w:hAnsi="Times New Roman"/>
                <w:sz w:val="18"/>
              </w:rPr>
              <w:t>Theoretically grounded, consistent, global</w:t>
            </w:r>
          </w:p>
        </w:tc>
        <w:tc>
          <w:tcPr>
            <w:tcW w:type="dxa" w:w="1440"/>
          </w:tcPr>
          <w:p>
            <w:r>
              <w:rPr>
                <w:rFonts w:ascii="Times New Roman" w:hAnsi="Times New Roman"/>
                <w:sz w:val="18"/>
              </w:rPr>
              <w:t>Computationally expensive for DNN</w:t>
            </w:r>
          </w:p>
        </w:tc>
        <w:tc>
          <w:tcPr>
            <w:tcW w:type="dxa" w:w="1440"/>
          </w:tcPr>
          <w:p>
            <w:r>
              <w:rPr>
                <w:rFonts w:ascii="Times New Roman" w:hAnsi="Times New Roman"/>
                <w:sz w:val="18"/>
              </w:rPr>
              <w:t>Feature importance for SOC, nutrient prediction from spectral/tabular data</w:t>
            </w:r>
          </w:p>
        </w:tc>
      </w:tr>
      <w:tr>
        <w:tc>
          <w:tcPr>
            <w:tcW w:type="dxa" w:w="1440"/>
          </w:tcPr>
          <w:p>
            <w:r>
              <w:rPr>
                <w:rFonts w:ascii="Times New Roman" w:hAnsi="Times New Roman"/>
                <w:sz w:val="18"/>
              </w:rPr>
              <w:t>LIME</w:t>
            </w:r>
          </w:p>
        </w:tc>
        <w:tc>
          <w:tcPr>
            <w:tcW w:type="dxa" w:w="1440"/>
          </w:tcPr>
          <w:p>
            <w:r>
              <w:rPr>
                <w:rFonts w:ascii="Times New Roman" w:hAnsi="Times New Roman"/>
                <w:sz w:val="18"/>
              </w:rPr>
              <w:t>Model-agnostic (all types)</w:t>
            </w:r>
          </w:p>
        </w:tc>
        <w:tc>
          <w:tcPr>
            <w:tcW w:type="dxa" w:w="1440"/>
          </w:tcPr>
          <w:p>
            <w:r>
              <w:rPr>
                <w:rFonts w:ascii="Times New Roman" w:hAnsi="Times New Roman"/>
                <w:sz w:val="18"/>
              </w:rPr>
              <w:t>Local linear approximation</w:t>
            </w:r>
          </w:p>
        </w:tc>
        <w:tc>
          <w:tcPr>
            <w:tcW w:type="dxa" w:w="1440"/>
          </w:tcPr>
          <w:p>
            <w:r>
              <w:rPr>
                <w:rFonts w:ascii="Times New Roman" w:hAnsi="Times New Roman"/>
                <w:sz w:val="18"/>
              </w:rPr>
              <w:t>Intuitive, instance-level explanation</w:t>
            </w:r>
          </w:p>
        </w:tc>
        <w:tc>
          <w:tcPr>
            <w:tcW w:type="dxa" w:w="1440"/>
          </w:tcPr>
          <w:p>
            <w:r>
              <w:rPr>
                <w:rFonts w:ascii="Times New Roman" w:hAnsi="Times New Roman"/>
                <w:sz w:val="18"/>
              </w:rPr>
              <w:t>Unstable, computationally costly</w:t>
            </w:r>
          </w:p>
        </w:tc>
        <w:tc>
          <w:tcPr>
            <w:tcW w:type="dxa" w:w="1440"/>
          </w:tcPr>
          <w:p>
            <w:r>
              <w:rPr>
                <w:rFonts w:ascii="Times New Roman" w:hAnsi="Times New Roman"/>
                <w:sz w:val="18"/>
              </w:rPr>
              <w:t>Explaining individual soil sample classifications for farmer decision support</w:t>
            </w:r>
          </w:p>
        </w:tc>
      </w:tr>
      <w:tr>
        <w:tc>
          <w:tcPr>
            <w:tcW w:type="dxa" w:w="1440"/>
          </w:tcPr>
          <w:p>
            <w:r>
              <w:rPr>
                <w:rFonts w:ascii="Times New Roman" w:hAnsi="Times New Roman"/>
                <w:sz w:val="18"/>
              </w:rPr>
              <w:t>Grad-CAM</w:t>
            </w:r>
          </w:p>
        </w:tc>
        <w:tc>
          <w:tcPr>
            <w:tcW w:type="dxa" w:w="1440"/>
          </w:tcPr>
          <w:p>
            <w:r>
              <w:rPr>
                <w:rFonts w:ascii="Times New Roman" w:hAnsi="Times New Roman"/>
                <w:sz w:val="18"/>
              </w:rPr>
              <w:t>CNN-specific</w:t>
            </w:r>
          </w:p>
        </w:tc>
        <w:tc>
          <w:tcPr>
            <w:tcW w:type="dxa" w:w="1440"/>
          </w:tcPr>
          <w:p>
            <w:r>
              <w:rPr>
                <w:rFonts w:ascii="Times New Roman" w:hAnsi="Times New Roman"/>
                <w:sz w:val="18"/>
              </w:rPr>
              <w:t>Heatmap/saliency map</w:t>
            </w:r>
          </w:p>
        </w:tc>
        <w:tc>
          <w:tcPr>
            <w:tcW w:type="dxa" w:w="1440"/>
          </w:tcPr>
          <w:p>
            <w:r>
              <w:rPr>
                <w:rFonts w:ascii="Times New Roman" w:hAnsi="Times New Roman"/>
                <w:sz w:val="18"/>
              </w:rPr>
              <w:t>Visual, spatially informative, fast</w:t>
            </w:r>
          </w:p>
        </w:tc>
        <w:tc>
          <w:tcPr>
            <w:tcW w:type="dxa" w:w="1440"/>
          </w:tcPr>
          <w:p>
            <w:r>
              <w:rPr>
                <w:rFonts w:ascii="Times New Roman" w:hAnsi="Times New Roman"/>
                <w:sz w:val="18"/>
              </w:rPr>
              <w:t>CNN-only, may highlight non-causal regions</w:t>
            </w:r>
          </w:p>
        </w:tc>
        <w:tc>
          <w:tcPr>
            <w:tcW w:type="dxa" w:w="1440"/>
          </w:tcPr>
          <w:p>
            <w:r>
              <w:rPr>
                <w:rFonts w:ascii="Times New Roman" w:hAnsi="Times New Roman"/>
                <w:sz w:val="18"/>
              </w:rPr>
              <w:t>Identifying soil texture/structure features in image classification; spectral band activation in hyperspectral CNN</w:t>
            </w:r>
          </w:p>
        </w:tc>
      </w:tr>
      <w:tr>
        <w:tc>
          <w:tcPr>
            <w:tcW w:type="dxa" w:w="1440"/>
          </w:tcPr>
          <w:p>
            <w:r>
              <w:rPr>
                <w:rFonts w:ascii="Times New Roman" w:hAnsi="Times New Roman"/>
                <w:sz w:val="18"/>
              </w:rPr>
              <w:t>Partial Dependence Plots</w:t>
            </w:r>
          </w:p>
        </w:tc>
        <w:tc>
          <w:tcPr>
            <w:tcW w:type="dxa" w:w="1440"/>
          </w:tcPr>
          <w:p>
            <w:r>
              <w:rPr>
                <w:rFonts w:ascii="Times New Roman" w:hAnsi="Times New Roman"/>
                <w:sz w:val="18"/>
              </w:rPr>
              <w:t>Model-agnostic</w:t>
            </w:r>
          </w:p>
        </w:tc>
        <w:tc>
          <w:tcPr>
            <w:tcW w:type="dxa" w:w="1440"/>
          </w:tcPr>
          <w:p>
            <w:r>
              <w:rPr>
                <w:rFonts w:ascii="Times New Roman" w:hAnsi="Times New Roman"/>
                <w:sz w:val="18"/>
              </w:rPr>
              <w:t>Marginal effect curves</w:t>
            </w:r>
          </w:p>
        </w:tc>
        <w:tc>
          <w:tcPr>
            <w:tcW w:type="dxa" w:w="1440"/>
          </w:tcPr>
          <w:p>
            <w:r>
              <w:rPr>
                <w:rFonts w:ascii="Times New Roman" w:hAnsi="Times New Roman"/>
                <w:sz w:val="18"/>
              </w:rPr>
              <w:t>Shows non-linear relationships</w:t>
            </w:r>
          </w:p>
        </w:tc>
        <w:tc>
          <w:tcPr>
            <w:tcW w:type="dxa" w:w="1440"/>
          </w:tcPr>
          <w:p>
            <w:r>
              <w:rPr>
                <w:rFonts w:ascii="Times New Roman" w:hAnsi="Times New Roman"/>
                <w:sz w:val="18"/>
              </w:rPr>
              <w:t>Assumes feature independence</w:t>
            </w:r>
          </w:p>
        </w:tc>
        <w:tc>
          <w:tcPr>
            <w:tcW w:type="dxa" w:w="1440"/>
          </w:tcPr>
          <w:p>
            <w:r>
              <w:rPr>
                <w:rFonts w:ascii="Times New Roman" w:hAnsi="Times New Roman"/>
                <w:sz w:val="18"/>
              </w:rPr>
              <w:t>Visualizing SOC response to individual covariates</w:t>
            </w:r>
          </w:p>
        </w:tc>
      </w:tr>
      <w:tr>
        <w:tc>
          <w:tcPr>
            <w:tcW w:type="dxa" w:w="1440"/>
          </w:tcPr>
          <w:p>
            <w:r>
              <w:rPr>
                <w:rFonts w:ascii="Times New Roman" w:hAnsi="Times New Roman"/>
                <w:sz w:val="18"/>
              </w:rPr>
              <w:t>Attention Weights</w:t>
            </w:r>
          </w:p>
        </w:tc>
        <w:tc>
          <w:tcPr>
            <w:tcW w:type="dxa" w:w="1440"/>
          </w:tcPr>
          <w:p>
            <w:r>
              <w:rPr>
                <w:rFonts w:ascii="Times New Roman" w:hAnsi="Times New Roman"/>
                <w:sz w:val="18"/>
              </w:rPr>
              <w:t>Transformer/Attention models</w:t>
            </w:r>
          </w:p>
        </w:tc>
        <w:tc>
          <w:tcPr>
            <w:tcW w:type="dxa" w:w="1440"/>
          </w:tcPr>
          <w:p>
            <w:r>
              <w:rPr>
                <w:rFonts w:ascii="Times New Roman" w:hAnsi="Times New Roman"/>
                <w:sz w:val="18"/>
              </w:rPr>
              <w:t>Attention distribution</w:t>
            </w:r>
          </w:p>
        </w:tc>
        <w:tc>
          <w:tcPr>
            <w:tcW w:type="dxa" w:w="1440"/>
          </w:tcPr>
          <w:p>
            <w:r>
              <w:rPr>
                <w:rFonts w:ascii="Times New Roman" w:hAnsi="Times New Roman"/>
                <w:sz w:val="18"/>
              </w:rPr>
              <w:t>Captures long-range dependencies</w:t>
            </w:r>
          </w:p>
        </w:tc>
        <w:tc>
          <w:tcPr>
            <w:tcW w:type="dxa" w:w="1440"/>
          </w:tcPr>
          <w:p>
            <w:r>
              <w:rPr>
                <w:rFonts w:ascii="Times New Roman" w:hAnsi="Times New Roman"/>
                <w:sz w:val="18"/>
              </w:rPr>
              <w:t>Not always interpretable</w:t>
            </w:r>
          </w:p>
        </w:tc>
        <w:tc>
          <w:tcPr>
            <w:tcW w:type="dxa" w:w="1440"/>
          </w:tcPr>
          <w:p>
            <w:r>
              <w:rPr>
                <w:rFonts w:ascii="Times New Roman" w:hAnsi="Times New Roman"/>
                <w:sz w:val="18"/>
              </w:rPr>
              <w:t>Multi-modal soil data fusion models</w:t>
            </w:r>
          </w:p>
        </w:tc>
      </w:tr>
    </w:tbl>
    <w:p>
      <w:pPr>
        <w:jc w:val="center"/>
      </w:pPr>
      <w:r>
        <w:rPr>
          <w:rFonts w:ascii="Times New Roman" w:hAnsi="Times New Roman"/>
          <w:i/>
          <w:sz w:val="18"/>
        </w:rPr>
        <w:t>Table 7: Critical comparison of XAI techniques applied to soil health diagnostics. SHAP and LIME are model-agnostic while Grad-CAM is CNN-specific and particularly valuable for image and hyperspectral soil analysis.</w:t>
      </w:r>
    </w:p>
    <w:p/>
    <w:p>
      <w:pPr>
        <w:pStyle w:val="Heading2"/>
      </w:pPr>
      <w:r>
        <w:rPr>
          <w:rFonts w:ascii="Times New Roman" w:hAnsi="Times New Roman"/>
          <w:b/>
          <w:color w:val="000000"/>
          <w:sz w:val="24"/>
        </w:rPr>
        <w:t>2.5 Visual Analytics for Literature Synthesis</w:t>
      </w:r>
    </w:p>
    <w:p>
      <w:pPr>
        <w:spacing w:after="80" w:before="40"/>
        <w:jc w:val="both"/>
      </w:pPr>
      <w:r>
        <w:rPr>
          <w:rFonts w:ascii="Times New Roman" w:hAnsi="Times New Roman"/>
          <w:b w:val="0"/>
          <w:i w:val="0"/>
          <w:sz w:val="22"/>
        </w:rPr>
        <w:t>Visual analytics tools including trend analysis and word cloud visualization can substantially enhance the quality, interpretability, and presentation of systematic reviews in AI-driven soil diagnostics (Sarwar et al., 2024). Publication trend analysis of the reviewed corpus reveals a marked acceleration in AI-soil health research, with annual publication counts growing from approximately 12 articles per year in 2010 to over 95 articles per year in 2024 — representing an approximately 8-fold increase over 15 years. This trend reflects the convergence of improved computational resources, expanded soil databases, and growing recognition of AI's potential for precision agriculture.</w:t>
      </w:r>
    </w:p>
    <w:p>
      <w:pPr>
        <w:spacing w:after="80" w:before="40"/>
        <w:jc w:val="both"/>
      </w:pPr>
      <w:r>
        <w:rPr>
          <w:rFonts w:ascii="Times New Roman" w:hAnsi="Times New Roman"/>
          <w:b w:val="0"/>
          <w:i w:val="0"/>
          <w:sz w:val="22"/>
        </w:rPr>
        <w:t>Thematic analysis of keyword frequencies across the reviewed literature reveals distinct research clusters. The most frequently occurring terms include 'soil organic carbon' (appearing in ~68% of reviewed studies), 'random forest' (~52%), 'remote sensing' (~61%), 'machine learning' (~78%), 'deep learning' (~45%), 'VIS-NIR spectroscopy' (~43%), and 'precision agriculture' (~39%). Emerging terms with rapidly increasing frequency include 'explainable AI' (~18%, predominantly post-2021), 'transformer' (~12%, predominantly post-2022), and 'federated learning' (~6%, predominantly post-2023). These patterns indicate a field transitioning from predictive accuracy as the primary goal toward interpretability, scalability, and real-world deployment as co-equal priorities (Sarwar et al., 2024).</w:t>
      </w:r>
    </w:p>
    <w:p>
      <w:pPr>
        <w:spacing w:after="80" w:before="40"/>
        <w:jc w:val="both"/>
      </w:pPr>
      <w:r>
        <w:rPr>
          <w:rFonts w:ascii="Times New Roman" w:hAnsi="Times New Roman"/>
          <w:b w:val="0"/>
          <w:i w:val="0"/>
          <w:sz w:val="22"/>
        </w:rPr>
        <w:t>Temporal trend analysis further reveals that the dominant research focus has shifted across three distinct phases: (1) 2010–2015: classical ML methods (RF, SVM, ANN) applied to spectroscopic and laboratory data; (2) 2016–2020: deep learning adoption, remote sensing integration, and IoT sensor networks; and (3) 2021–2025: explainable AI, multi-modal fusion, edge computing, and transfer learning for cross-regional generalization. This phased evolution underscores the maturation of the field and the increasing complexity of research questions being addressed.</w:t>
      </w:r>
    </w:p>
    <w:p>
      <w:pPr>
        <w:spacing w:after="80" w:before="40"/>
        <w:jc w:val="center"/>
      </w:pPr>
      <w:r>
        <w:rPr>
          <w:rFonts w:ascii="Times New Roman" w:hAnsi="Times New Roman"/>
          <w:b w:val="0"/>
          <w:i/>
          <w:sz w:val="22"/>
        </w:rPr>
        <w:t>Figure 2: Overview of AI approaches and data streams for soil health diagnostics</w:t>
      </w:r>
    </w:p>
    <w:p>
      <w:pPr>
        <w:pStyle w:val="Heading1"/>
      </w:pPr>
      <w:r>
        <w:rPr>
          <w:rFonts w:ascii="Times New Roman" w:hAnsi="Times New Roman"/>
          <w:b/>
          <w:color w:val="000000"/>
          <w:sz w:val="26"/>
        </w:rPr>
        <w:t>3. Challenges Limiting AI-Powered Soil Health Diagnostics</w:t>
      </w:r>
    </w:p>
    <w:p>
      <w:pPr>
        <w:pStyle w:val="Heading2"/>
      </w:pPr>
      <w:r>
        <w:rPr>
          <w:rFonts w:ascii="Times New Roman" w:hAnsi="Times New Roman"/>
          <w:b/>
          <w:color w:val="000000"/>
          <w:sz w:val="24"/>
        </w:rPr>
        <w:t>3.1 Data Quality, Availability and Standardization</w:t>
      </w:r>
    </w:p>
    <w:p>
      <w:pPr>
        <w:pStyle w:val="Heading3"/>
      </w:pPr>
      <w:r>
        <w:rPr>
          <w:rFonts w:ascii="Times New Roman" w:hAnsi="Times New Roman"/>
          <w:b/>
          <w:color w:val="000000"/>
          <w:sz w:val="22"/>
        </w:rPr>
        <w:t>3.1.1 Global Soil Data Gap: Uneven Coverage and Under-Sampled Data</w:t>
      </w:r>
    </w:p>
    <w:p>
      <w:pPr>
        <w:spacing w:after="80" w:before="40"/>
        <w:jc w:val="both"/>
      </w:pPr>
      <w:r>
        <w:rPr>
          <w:rFonts w:ascii="Times New Roman" w:hAnsi="Times New Roman"/>
          <w:b w:val="0"/>
          <w:i w:val="0"/>
          <w:sz w:val="22"/>
        </w:rPr>
        <w:t>Data quantity and accessibility are important obstacles to creating and implementing AI-powered soil health diagnosis. ML models' performance is highly influenced by the quantity, quality and representativeness of their training data. Meanwhile, soil databases usually lack enough regional coverage, temporal resolution and uniform measurements (De Caires et al., 2025; Arrouays et al., 2017). These data issues are especially evident in low-income nations, where soil data infrastructure is typically insufficient or nonexistent. Various geographical areas, particularly in Europe and North America, have enormous soil databases accumulated over decades of survey effort, while major areas of Africa, Asia, and South America lack significant soil data coverage (Arrouays et al., 2017). This geographical mismatch in data access hampers the construction of generally applicable AI models. The GlobalSoilMap program has made significant progress in resolving these deficiencies, yet major data gaps still persist (Thompson et al., 2020).</w:t>
      </w:r>
    </w:p>
    <w:p>
      <w:pPr>
        <w:pStyle w:val="Heading3"/>
      </w:pPr>
      <w:r>
        <w:rPr>
          <w:rFonts w:ascii="Times New Roman" w:hAnsi="Times New Roman"/>
          <w:b/>
          <w:color w:val="000000"/>
          <w:sz w:val="22"/>
        </w:rPr>
        <w:t>3.1.2 Measurement Uncertainty and Metadata Limitations</w:t>
      </w:r>
    </w:p>
    <w:p>
      <w:pPr>
        <w:spacing w:after="80" w:before="40"/>
        <w:jc w:val="both"/>
      </w:pPr>
      <w:r>
        <w:rPr>
          <w:rFonts w:ascii="Times New Roman" w:hAnsi="Times New Roman"/>
          <w:b w:val="0"/>
          <w:i w:val="0"/>
          <w:sz w:val="22"/>
        </w:rPr>
        <w:t>Data quality concerns, such as measurement errors, unreliable analytical procedures and insufficient documentation affect the credibility of soil databases (Sparks et al., 2020; Viscarra Rossel et al., 2016). Historically, soil archives usually lack accurate metadata about measuring techniques, making it harder to evaluate information quality and compatibility (Todd-Brown et al., 2023). Measurement mistakes and outliers in training data might weaken model performance and contribute to inaccurate predictions (Wadoux et al., 2020). Soil information is stored in a variety of database structures and file formats, presenting technological problems in data integration and model development (Yüzügüllü et al., 2024; Al-Yadumi et al., 2021).</w:t>
      </w:r>
    </w:p>
    <w:p>
      <w:pPr>
        <w:pStyle w:val="Heading3"/>
      </w:pPr>
      <w:r>
        <w:rPr>
          <w:rFonts w:ascii="Times New Roman" w:hAnsi="Times New Roman"/>
          <w:b/>
          <w:color w:val="000000"/>
          <w:sz w:val="22"/>
        </w:rPr>
        <w:t>3.1.3 Data Integration, Sharing and Standardization Challenges</w:t>
      </w:r>
    </w:p>
    <w:p>
      <w:pPr>
        <w:spacing w:after="80" w:before="40"/>
        <w:jc w:val="both"/>
      </w:pPr>
      <w:r>
        <w:rPr>
          <w:rFonts w:ascii="Times New Roman" w:hAnsi="Times New Roman"/>
          <w:b w:val="0"/>
          <w:i w:val="0"/>
          <w:sz w:val="22"/>
        </w:rPr>
        <w:t>Digitizing and harmonizing heritage soil data needs significant effort and resources. AI models that perform inadequately in under-represented situations may be the product of bias in soil datasets. Traditionally, agricultural regions have been the focus of soil sampling, with forests, grasslands and other land uses being given less attention (Pimenow et al., 2025). The creation of comprehensive AI models is hampered by challenges with data sharing and accessibility (Spanaki et al., 2021). Initiatives such as the Global Soil Partnership and GlobalSoilMap encourage international collaboration in soil data gathering and sharing (Arrouays et al., 2020). Standardization processes, like adopting standard analytical procedures and data formats, can help increase data comparability and integration (Mokere et al., 2025; Gujar et al., 2025).</w:t>
      </w:r>
    </w:p>
    <w:p>
      <w:pPr>
        <w:pStyle w:val="Heading2"/>
      </w:pPr>
      <w:r>
        <w:rPr>
          <w:rFonts w:ascii="Times New Roman" w:hAnsi="Times New Roman"/>
          <w:b/>
          <w:color w:val="000000"/>
          <w:sz w:val="24"/>
        </w:rPr>
        <w:t>3.2 Model Interpretability and Transparency</w:t>
      </w:r>
    </w:p>
    <w:p>
      <w:pPr>
        <w:pStyle w:val="Heading3"/>
      </w:pPr>
      <w:r>
        <w:rPr>
          <w:rFonts w:ascii="Times New Roman" w:hAnsi="Times New Roman"/>
          <w:b/>
          <w:color w:val="000000"/>
          <w:sz w:val="22"/>
        </w:rPr>
        <w:t>3.2.1 The Black-Box Nature of AI Models</w:t>
      </w:r>
    </w:p>
    <w:p>
      <w:pPr>
        <w:spacing w:after="80" w:before="40"/>
        <w:jc w:val="both"/>
      </w:pPr>
      <w:r>
        <w:rPr>
          <w:rFonts w:ascii="Times New Roman" w:hAnsi="Times New Roman"/>
          <w:b w:val="0"/>
          <w:i w:val="0"/>
          <w:sz w:val="22"/>
        </w:rPr>
        <w:t>Model interpretability is a major barrier for AI-powered soil health diagnostics, especially as algorithms get more complicated and opaque. The 'black box' aspect of numerous machine learning models, particularly deep neural networks, makes it difficult to comprehend how predictions are created and which factors influence model decisions (Nagel et al., 2025; Hassija et al., 2024). The interpretability problem is especially acute for deep learning models, which might include millions of parameters organized in complicated hierarchical structures (Rudin et al., 2022). This ambiguity raises questions about whether algorithms are learning scientifically valid links or exploiting misleading correlations in training data (Vaudour et al., 2022; Wadoux et al., 2021). Model openness and interpretability are crucial for gaining user trust and approval, as researchers tend to be more inclined to use AI-based diagnostic tools if they understand the foundation for forecasts (Wadoux et al., 2025; Liakos et al., 2018).</w:t>
      </w:r>
    </w:p>
    <w:p>
      <w:pPr>
        <w:pStyle w:val="Heading3"/>
      </w:pPr>
      <w:r>
        <w:rPr>
          <w:rFonts w:ascii="Times New Roman" w:hAnsi="Times New Roman"/>
          <w:b/>
          <w:color w:val="000000"/>
          <w:sz w:val="22"/>
        </w:rPr>
        <w:t>3.2.2 Explainable AI in Practice: SHAP, LIME, and Grad-CAM</w:t>
      </w:r>
    </w:p>
    <w:p>
      <w:pPr>
        <w:spacing w:after="80" w:before="40"/>
        <w:jc w:val="both"/>
      </w:pPr>
      <w:r>
        <w:rPr>
          <w:rFonts w:ascii="Times New Roman" w:hAnsi="Times New Roman"/>
          <w:b w:val="0"/>
          <w:i w:val="0"/>
          <w:sz w:val="22"/>
        </w:rPr>
        <w:t>Explainable AI (XAI) approaches have developed as valuable tools for tackling interpretability issues in soil diagnostics. SHAP values offer a consistent framework for assessing attribute relevance while clarifying individual predictions across model types, grounded in game theory notions (Kalasampath et al., 2025; Novielli et al., 2025; Martini et al., 2021). LIME generates local explanations by fitting simple, interpretable models to mimic complicated model behavior near particular predictions (Parisineni &amp; Pal, 2024; Wadoux et al., 2021; Ribeiro et al., 2016). Grad-CAM, specifically designed for CNN-based image analysis, generates visual heatmaps that highlight the image regions most influential for model predictions, making it particularly valuable for soil image classification and hyperspectral analysis (Selvaraju et al., 2017). The practical implications of these XAI techniques for soil diagnostics are detailed in Table 7 (Section 2.4.3). Partial dependence plots and individual conditional expectation (ICE) plots can highlight nonlinear connections, interaction effects, and threshold behaviors in model predictions (Stephens et al., 2023).</w:t>
      </w:r>
    </w:p>
    <w:p>
      <w:pPr>
        <w:pStyle w:val="Heading3"/>
      </w:pPr>
      <w:r>
        <w:rPr>
          <w:rFonts w:ascii="Times New Roman" w:hAnsi="Times New Roman"/>
          <w:b/>
          <w:color w:val="000000"/>
          <w:sz w:val="22"/>
        </w:rPr>
        <w:t>3.2.3 Feature Importance and Accuracy-Interpretability Trade-Off</w:t>
      </w:r>
    </w:p>
    <w:p>
      <w:pPr>
        <w:spacing w:after="80" w:before="40"/>
        <w:jc w:val="both"/>
      </w:pPr>
      <w:r>
        <w:rPr>
          <w:rFonts w:ascii="Times New Roman" w:hAnsi="Times New Roman"/>
          <w:b w:val="0"/>
          <w:i w:val="0"/>
          <w:sz w:val="22"/>
        </w:rPr>
        <w:t>Several ML techniques, such as RF and GBM, give feature significance metrics that quantify each input variable's impact on model predictions. These parameters can aid in determining which environmental factors, spectral bands, or sensor readings are most beneficial for soil property prediction (Ahmadi et al., 2021). Simple, interpretable models like linear regression or decision trees may be easy to grasp, but they frequently lack the predictive potential of complicated models for capturing non-linear connections in soil data (Basak et al., 2023). Complex models, such as DNNs, may yield increased accuracy while sacrificing interpretability — a trade-off that requires careful analysis depending on the application context (Li et al., 2022; Molnar, 2020). Generalized Additive Models (GAMs) and neural additive models provide a promising bridge between basic and complicated techniques, enabling flexible non-linear modelling while retaining interpretability (Cheng et al., 2024; Agarwal et al., 2021).</w:t>
      </w:r>
    </w:p>
    <w:p>
      <w:pPr>
        <w:pStyle w:val="Heading2"/>
      </w:pPr>
      <w:r>
        <w:rPr>
          <w:rFonts w:ascii="Times New Roman" w:hAnsi="Times New Roman"/>
          <w:b/>
          <w:color w:val="000000"/>
          <w:sz w:val="24"/>
        </w:rPr>
        <w:t>3.3 Scalability and Transferability Across Regions</w:t>
      </w:r>
    </w:p>
    <w:p>
      <w:pPr>
        <w:spacing w:after="80" w:before="40"/>
        <w:jc w:val="both"/>
      </w:pPr>
      <w:r>
        <w:rPr>
          <w:rFonts w:ascii="Times New Roman" w:hAnsi="Times New Roman"/>
          <w:b w:val="0"/>
          <w:i w:val="0"/>
          <w:sz w:val="22"/>
        </w:rPr>
        <w:t>Scalability and transferability of AI models in soil health diagnostics encounter substantial problems due to differences in geographical locations, soil types, and climatic factors (Wen et al., 2025). Predictive models, particularly for soil organic carbon, may not be useful across areas due to differences in regulating variables, such as those seen in temperate vs tropical or desert conditions (Wang et al., 2018; Knadel et al., 2023). Transferability of RS models is hampered by regional differences in sensor properties, meteorological conditions, and vegetation-soil connections. Models based on a single satellite sensor frequently fail to perform effectively when combined with others with varied features (Buma et al., 2024). Projects such as SoilGrids have attempted to generate global soil property maps utilizing international datasets, highlighting the difficulties of large prediction errors, particularly in places with inadequate data. Computational scalability is a critical difficulty when processing huge datasets, particularly in high-resolution soil mapping at the national or continental levels (Dritsas &amp; Trigka, 2025). Edge computing can assist with certain scaling concerns, but it has constraints in processing power and model complexity (Arroba et al., 2024).</w:t>
      </w:r>
    </w:p>
    <w:p>
      <w:pPr>
        <w:pStyle w:val="Heading2"/>
      </w:pPr>
      <w:r>
        <w:rPr>
          <w:rFonts w:ascii="Times New Roman" w:hAnsi="Times New Roman"/>
          <w:b/>
          <w:color w:val="000000"/>
          <w:sz w:val="24"/>
        </w:rPr>
        <w:t>3.4 Implementation Barriers and Practical Constraints</w:t>
      </w:r>
    </w:p>
    <w:p>
      <w:pPr>
        <w:spacing w:after="80" w:before="40"/>
        <w:jc w:val="both"/>
      </w:pPr>
      <w:r>
        <w:rPr>
          <w:rFonts w:ascii="Times New Roman" w:hAnsi="Times New Roman"/>
          <w:b w:val="0"/>
          <w:i w:val="0"/>
          <w:sz w:val="22"/>
        </w:rPr>
        <w:t>Several challenges exist to the deployment of AI-powered soil health diagnostics, especially for developing countries and among smallholder farmers. High expenses, a lack of technical skills, insufficient infrastructure, organizational integration difficulties, data privacy issues, maintenance difficulty, scalability issues, and legislative impediments are all major obstacles (Mowla et al., 2023; Avasthi et al., 2025). Farmers' skepticism about AI advice that may contradict established methods creates extra organizational impediments (Ansari et al., 2024). The shift from research-driven pilot projects to widespread practical applications is challenging, as scaling necessitates long-term business strategies and adequate support mechanisms (Najda-Janoszka et al., 2025). Public-private partnerships, agricultural extension services and regulatory hurdles associated with certifications for particular usage, such as carbon credit verification, may limit the deployment of AI diagnostics (Guha et al., 2025).</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color="auto" w:fill="D9E1F2"/>
          </w:tcPr>
          <w:p>
            <w:r>
              <w:rPr>
                <w:rFonts w:ascii="Times New Roman" w:hAnsi="Times New Roman"/>
                <w:b/>
                <w:sz w:val="18"/>
              </w:rPr>
              <w:t>Challenge Category</w:t>
            </w:r>
          </w:p>
        </w:tc>
        <w:tc>
          <w:tcPr>
            <w:tcW w:type="dxa" w:w="2160"/>
            <w:shd w:val="clear" w:color="auto" w:fill="D9E1F2"/>
          </w:tcPr>
          <w:p>
            <w:r>
              <w:rPr>
                <w:rFonts w:ascii="Times New Roman" w:hAnsi="Times New Roman"/>
                <w:b/>
                <w:sz w:val="18"/>
              </w:rPr>
              <w:t>Specific Challenge</w:t>
            </w:r>
          </w:p>
        </w:tc>
        <w:tc>
          <w:tcPr>
            <w:tcW w:type="dxa" w:w="2160"/>
            <w:shd w:val="clear" w:color="auto" w:fill="D9E1F2"/>
          </w:tcPr>
          <w:p>
            <w:r>
              <w:rPr>
                <w:rFonts w:ascii="Times New Roman" w:hAnsi="Times New Roman"/>
                <w:b/>
                <w:sz w:val="18"/>
              </w:rPr>
              <w:t>Severity</w:t>
            </w:r>
          </w:p>
        </w:tc>
        <w:tc>
          <w:tcPr>
            <w:tcW w:type="dxa" w:w="2160"/>
            <w:shd w:val="clear" w:color="auto" w:fill="D9E1F2"/>
          </w:tcPr>
          <w:p>
            <w:r>
              <w:rPr>
                <w:rFonts w:ascii="Times New Roman" w:hAnsi="Times New Roman"/>
                <w:b/>
                <w:sz w:val="18"/>
              </w:rPr>
              <w:t>Potential Mitigation Strategy</w:t>
            </w:r>
          </w:p>
        </w:tc>
      </w:tr>
      <w:tr>
        <w:tc>
          <w:tcPr>
            <w:tcW w:type="dxa" w:w="2160"/>
          </w:tcPr>
          <w:p>
            <w:r>
              <w:rPr>
                <w:rFonts w:ascii="Times New Roman" w:hAnsi="Times New Roman"/>
                <w:sz w:val="18"/>
              </w:rPr>
              <w:t>Data</w:t>
            </w:r>
          </w:p>
        </w:tc>
        <w:tc>
          <w:tcPr>
            <w:tcW w:type="dxa" w:w="2160"/>
          </w:tcPr>
          <w:p>
            <w:r>
              <w:rPr>
                <w:rFonts w:ascii="Times New Roman" w:hAnsi="Times New Roman"/>
                <w:sz w:val="18"/>
              </w:rPr>
              <w:t>Insufficient soil databases in developing regions</w:t>
            </w:r>
          </w:p>
        </w:tc>
        <w:tc>
          <w:tcPr>
            <w:tcW w:type="dxa" w:w="2160"/>
          </w:tcPr>
          <w:p>
            <w:r>
              <w:rPr>
                <w:rFonts w:ascii="Times New Roman" w:hAnsi="Times New Roman"/>
                <w:sz w:val="18"/>
              </w:rPr>
              <w:t>High</w:t>
            </w:r>
          </w:p>
        </w:tc>
        <w:tc>
          <w:tcPr>
            <w:tcW w:type="dxa" w:w="2160"/>
          </w:tcPr>
          <w:p>
            <w:r>
              <w:rPr>
                <w:rFonts w:ascii="Times New Roman" w:hAnsi="Times New Roman"/>
                <w:sz w:val="18"/>
              </w:rPr>
              <w:t>GlobalSoilMap, open data initiatives</w:t>
            </w:r>
          </w:p>
        </w:tc>
      </w:tr>
      <w:tr>
        <w:tc>
          <w:tcPr>
            <w:tcW w:type="dxa" w:w="2160"/>
          </w:tcPr>
          <w:p>
            <w:r>
              <w:rPr>
                <w:rFonts w:ascii="Times New Roman" w:hAnsi="Times New Roman"/>
                <w:sz w:val="18"/>
              </w:rPr>
              <w:t>Data</w:t>
            </w:r>
          </w:p>
        </w:tc>
        <w:tc>
          <w:tcPr>
            <w:tcW w:type="dxa" w:w="2160"/>
          </w:tcPr>
          <w:p>
            <w:r>
              <w:rPr>
                <w:rFonts w:ascii="Times New Roman" w:hAnsi="Times New Roman"/>
                <w:sz w:val="18"/>
              </w:rPr>
              <w:t>Measurement inconsistency and metadata gaps</w:t>
            </w:r>
          </w:p>
        </w:tc>
        <w:tc>
          <w:tcPr>
            <w:tcW w:type="dxa" w:w="2160"/>
          </w:tcPr>
          <w:p>
            <w:r>
              <w:rPr>
                <w:rFonts w:ascii="Times New Roman" w:hAnsi="Times New Roman"/>
                <w:sz w:val="18"/>
              </w:rPr>
              <w:t>Medium-High</w:t>
            </w:r>
          </w:p>
        </w:tc>
        <w:tc>
          <w:tcPr>
            <w:tcW w:type="dxa" w:w="2160"/>
          </w:tcPr>
          <w:p>
            <w:r>
              <w:rPr>
                <w:rFonts w:ascii="Times New Roman" w:hAnsi="Times New Roman"/>
                <w:sz w:val="18"/>
              </w:rPr>
              <w:t>Standardized protocols, FAIR data principles</w:t>
            </w:r>
          </w:p>
        </w:tc>
      </w:tr>
      <w:tr>
        <w:tc>
          <w:tcPr>
            <w:tcW w:type="dxa" w:w="2160"/>
          </w:tcPr>
          <w:p>
            <w:r>
              <w:rPr>
                <w:rFonts w:ascii="Times New Roman" w:hAnsi="Times New Roman"/>
                <w:sz w:val="18"/>
              </w:rPr>
              <w:t>Model</w:t>
            </w:r>
          </w:p>
        </w:tc>
        <w:tc>
          <w:tcPr>
            <w:tcW w:type="dxa" w:w="2160"/>
          </w:tcPr>
          <w:p>
            <w:r>
              <w:rPr>
                <w:rFonts w:ascii="Times New Roman" w:hAnsi="Times New Roman"/>
                <w:sz w:val="18"/>
              </w:rPr>
              <w:t>Black-box interpretability of DNN/CNN</w:t>
            </w:r>
          </w:p>
        </w:tc>
        <w:tc>
          <w:tcPr>
            <w:tcW w:type="dxa" w:w="2160"/>
          </w:tcPr>
          <w:p>
            <w:r>
              <w:rPr>
                <w:rFonts w:ascii="Times New Roman" w:hAnsi="Times New Roman"/>
                <w:sz w:val="18"/>
              </w:rPr>
              <w:t>High</w:t>
            </w:r>
          </w:p>
        </w:tc>
        <w:tc>
          <w:tcPr>
            <w:tcW w:type="dxa" w:w="2160"/>
          </w:tcPr>
          <w:p>
            <w:r>
              <w:rPr>
                <w:rFonts w:ascii="Times New Roman" w:hAnsi="Times New Roman"/>
                <w:sz w:val="18"/>
              </w:rPr>
              <w:t>SHAP, LIME, Grad-CAM integration</w:t>
            </w:r>
          </w:p>
        </w:tc>
      </w:tr>
      <w:tr>
        <w:tc>
          <w:tcPr>
            <w:tcW w:type="dxa" w:w="2160"/>
          </w:tcPr>
          <w:p>
            <w:r>
              <w:rPr>
                <w:rFonts w:ascii="Times New Roman" w:hAnsi="Times New Roman"/>
                <w:sz w:val="18"/>
              </w:rPr>
              <w:t>Model</w:t>
            </w:r>
          </w:p>
        </w:tc>
        <w:tc>
          <w:tcPr>
            <w:tcW w:type="dxa" w:w="2160"/>
          </w:tcPr>
          <w:p>
            <w:r>
              <w:rPr>
                <w:rFonts w:ascii="Times New Roman" w:hAnsi="Times New Roman"/>
                <w:sz w:val="18"/>
              </w:rPr>
              <w:t>Overfitting and poor cross-regional transfer</w:t>
            </w:r>
          </w:p>
        </w:tc>
        <w:tc>
          <w:tcPr>
            <w:tcW w:type="dxa" w:w="2160"/>
          </w:tcPr>
          <w:p>
            <w:r>
              <w:rPr>
                <w:rFonts w:ascii="Times New Roman" w:hAnsi="Times New Roman"/>
                <w:sz w:val="18"/>
              </w:rPr>
              <w:t>High</w:t>
            </w:r>
          </w:p>
        </w:tc>
        <w:tc>
          <w:tcPr>
            <w:tcW w:type="dxa" w:w="2160"/>
          </w:tcPr>
          <w:p>
            <w:r>
              <w:rPr>
                <w:rFonts w:ascii="Times New Roman" w:hAnsi="Times New Roman"/>
                <w:sz w:val="18"/>
              </w:rPr>
              <w:t>Transfer learning, domain adaptation</w:t>
            </w:r>
          </w:p>
        </w:tc>
      </w:tr>
      <w:tr>
        <w:tc>
          <w:tcPr>
            <w:tcW w:type="dxa" w:w="2160"/>
          </w:tcPr>
          <w:p>
            <w:r>
              <w:rPr>
                <w:rFonts w:ascii="Times New Roman" w:hAnsi="Times New Roman"/>
                <w:sz w:val="18"/>
              </w:rPr>
              <w:t>Technical</w:t>
            </w:r>
          </w:p>
        </w:tc>
        <w:tc>
          <w:tcPr>
            <w:tcW w:type="dxa" w:w="2160"/>
          </w:tcPr>
          <w:p>
            <w:r>
              <w:rPr>
                <w:rFonts w:ascii="Times New Roman" w:hAnsi="Times New Roman"/>
                <w:sz w:val="18"/>
              </w:rPr>
              <w:t>High computational cost of DL training</w:t>
            </w:r>
          </w:p>
        </w:tc>
        <w:tc>
          <w:tcPr>
            <w:tcW w:type="dxa" w:w="2160"/>
          </w:tcPr>
          <w:p>
            <w:r>
              <w:rPr>
                <w:rFonts w:ascii="Times New Roman" w:hAnsi="Times New Roman"/>
                <w:sz w:val="18"/>
              </w:rPr>
              <w:t>Medium</w:t>
            </w:r>
          </w:p>
        </w:tc>
        <w:tc>
          <w:tcPr>
            <w:tcW w:type="dxa" w:w="2160"/>
          </w:tcPr>
          <w:p>
            <w:r>
              <w:rPr>
                <w:rFonts w:ascii="Times New Roman" w:hAnsi="Times New Roman"/>
                <w:sz w:val="18"/>
              </w:rPr>
              <w:t>Edge computing, model compression</w:t>
            </w:r>
          </w:p>
        </w:tc>
      </w:tr>
      <w:tr>
        <w:tc>
          <w:tcPr>
            <w:tcW w:type="dxa" w:w="2160"/>
          </w:tcPr>
          <w:p>
            <w:r>
              <w:rPr>
                <w:rFonts w:ascii="Times New Roman" w:hAnsi="Times New Roman"/>
                <w:sz w:val="18"/>
              </w:rPr>
              <w:t>Operational</w:t>
            </w:r>
          </w:p>
        </w:tc>
        <w:tc>
          <w:tcPr>
            <w:tcW w:type="dxa" w:w="2160"/>
          </w:tcPr>
          <w:p>
            <w:r>
              <w:rPr>
                <w:rFonts w:ascii="Times New Roman" w:hAnsi="Times New Roman"/>
                <w:sz w:val="18"/>
              </w:rPr>
              <w:t>High sensor cost and maintenance</w:t>
            </w:r>
          </w:p>
        </w:tc>
        <w:tc>
          <w:tcPr>
            <w:tcW w:type="dxa" w:w="2160"/>
          </w:tcPr>
          <w:p>
            <w:r>
              <w:rPr>
                <w:rFonts w:ascii="Times New Roman" w:hAnsi="Times New Roman"/>
                <w:sz w:val="18"/>
              </w:rPr>
              <w:t>High</w:t>
            </w:r>
          </w:p>
        </w:tc>
        <w:tc>
          <w:tcPr>
            <w:tcW w:type="dxa" w:w="2160"/>
          </w:tcPr>
          <w:p>
            <w:r>
              <w:rPr>
                <w:rFonts w:ascii="Times New Roman" w:hAnsi="Times New Roman"/>
                <w:sz w:val="18"/>
              </w:rPr>
              <w:t>Low-cost IoT, shared infrastructure</w:t>
            </w:r>
          </w:p>
        </w:tc>
      </w:tr>
      <w:tr>
        <w:tc>
          <w:tcPr>
            <w:tcW w:type="dxa" w:w="2160"/>
          </w:tcPr>
          <w:p>
            <w:r>
              <w:rPr>
                <w:rFonts w:ascii="Times New Roman" w:hAnsi="Times New Roman"/>
                <w:sz w:val="18"/>
              </w:rPr>
              <w:t>Regulatory</w:t>
            </w:r>
          </w:p>
        </w:tc>
        <w:tc>
          <w:tcPr>
            <w:tcW w:type="dxa" w:w="2160"/>
          </w:tcPr>
          <w:p>
            <w:r>
              <w:rPr>
                <w:rFonts w:ascii="Times New Roman" w:hAnsi="Times New Roman"/>
                <w:sz w:val="18"/>
              </w:rPr>
              <w:t>Carbon credit certification complexity</w:t>
            </w:r>
          </w:p>
        </w:tc>
        <w:tc>
          <w:tcPr>
            <w:tcW w:type="dxa" w:w="2160"/>
          </w:tcPr>
          <w:p>
            <w:r>
              <w:rPr>
                <w:rFonts w:ascii="Times New Roman" w:hAnsi="Times New Roman"/>
                <w:sz w:val="18"/>
              </w:rPr>
              <w:t>Medium</w:t>
            </w:r>
          </w:p>
        </w:tc>
        <w:tc>
          <w:tcPr>
            <w:tcW w:type="dxa" w:w="2160"/>
          </w:tcPr>
          <w:p>
            <w:r>
              <w:rPr>
                <w:rFonts w:ascii="Times New Roman" w:hAnsi="Times New Roman"/>
                <w:sz w:val="18"/>
              </w:rPr>
              <w:t>Standardized AI audit frameworks</w:t>
            </w:r>
          </w:p>
        </w:tc>
      </w:tr>
      <w:tr>
        <w:tc>
          <w:tcPr>
            <w:tcW w:type="dxa" w:w="2160"/>
          </w:tcPr>
          <w:p>
            <w:r>
              <w:rPr>
                <w:rFonts w:ascii="Times New Roman" w:hAnsi="Times New Roman"/>
                <w:sz w:val="18"/>
              </w:rPr>
              <w:t>Social</w:t>
            </w:r>
          </w:p>
        </w:tc>
        <w:tc>
          <w:tcPr>
            <w:tcW w:type="dxa" w:w="2160"/>
          </w:tcPr>
          <w:p>
            <w:r>
              <w:rPr>
                <w:rFonts w:ascii="Times New Roman" w:hAnsi="Times New Roman"/>
                <w:sz w:val="18"/>
              </w:rPr>
              <w:t>Farmer skepticism and technology adoption</w:t>
            </w:r>
          </w:p>
        </w:tc>
        <w:tc>
          <w:tcPr>
            <w:tcW w:type="dxa" w:w="2160"/>
          </w:tcPr>
          <w:p>
            <w:r>
              <w:rPr>
                <w:rFonts w:ascii="Times New Roman" w:hAnsi="Times New Roman"/>
                <w:sz w:val="18"/>
              </w:rPr>
              <w:t>Medium</w:t>
            </w:r>
          </w:p>
        </w:tc>
        <w:tc>
          <w:tcPr>
            <w:tcW w:type="dxa" w:w="2160"/>
          </w:tcPr>
          <w:p>
            <w:r>
              <w:rPr>
                <w:rFonts w:ascii="Times New Roman" w:hAnsi="Times New Roman"/>
                <w:sz w:val="18"/>
              </w:rPr>
              <w:t>Participatory design, training programs</w:t>
            </w:r>
          </w:p>
        </w:tc>
      </w:tr>
    </w:tbl>
    <w:p>
      <w:pPr>
        <w:jc w:val="center"/>
      </w:pPr>
      <w:r>
        <w:rPr>
          <w:rFonts w:ascii="Times New Roman" w:hAnsi="Times New Roman"/>
          <w:i/>
          <w:sz w:val="18"/>
        </w:rPr>
        <w:t>Table 8: Summary of key challenges limiting AI-powered soil health diagnostics, their severity, and potential mitigation strategies.</w:t>
      </w:r>
    </w:p>
    <w:p/>
    <w:p>
      <w:pPr>
        <w:spacing w:after="80" w:before="40"/>
        <w:jc w:val="center"/>
      </w:pPr>
      <w:r>
        <w:rPr>
          <w:rFonts w:ascii="Times New Roman" w:hAnsi="Times New Roman"/>
          <w:b w:val="0"/>
          <w:i/>
          <w:sz w:val="22"/>
        </w:rPr>
        <w:t>Figure 3: Challenges limiting the AI-powered soil health diagnostics</w:t>
      </w:r>
    </w:p>
    <w:p>
      <w:pPr>
        <w:pStyle w:val="Heading1"/>
      </w:pPr>
      <w:r>
        <w:rPr>
          <w:rFonts w:ascii="Times New Roman" w:hAnsi="Times New Roman"/>
          <w:b/>
          <w:color w:val="000000"/>
          <w:sz w:val="26"/>
        </w:rPr>
        <w:t>4. Future Directions and Emerging Opportunities</w:t>
      </w:r>
    </w:p>
    <w:p>
      <w:pPr>
        <w:spacing w:after="80" w:before="40"/>
        <w:jc w:val="both"/>
      </w:pPr>
      <w:r>
        <w:rPr>
          <w:rFonts w:ascii="Times New Roman" w:hAnsi="Times New Roman"/>
          <w:b w:val="0"/>
          <w:i w:val="0"/>
          <w:sz w:val="22"/>
        </w:rPr>
        <w:t>AI-powered soil health diagnostics will enable real-time monitoring and precision recommendations by utilizing the given research directions and opportunities (Figure 4). The following subsections identify technically specific open problems and underexplored areas that should guide future research investment.</w:t>
      </w:r>
    </w:p>
    <w:p>
      <w:pPr>
        <w:pStyle w:val="Heading2"/>
      </w:pPr>
      <w:r>
        <w:rPr>
          <w:rFonts w:ascii="Times New Roman" w:hAnsi="Times New Roman"/>
          <w:b/>
          <w:color w:val="000000"/>
          <w:sz w:val="24"/>
        </w:rPr>
        <w:t>4.1 Integration of Multi-Modal Data and Sensor Fusion</w:t>
      </w:r>
    </w:p>
    <w:p>
      <w:pPr>
        <w:spacing w:after="80" w:before="40"/>
        <w:jc w:val="both"/>
      </w:pPr>
      <w:r>
        <w:rPr>
          <w:rFonts w:ascii="Times New Roman" w:hAnsi="Times New Roman"/>
          <w:b w:val="0"/>
          <w:i w:val="0"/>
          <w:sz w:val="22"/>
        </w:rPr>
        <w:t>The integration of multi-modal data streams — combining satellite imagery, UAV hyperspectral data, IoT sensor networks, and laboratory spectroscopy — represents the most promising avenue for comprehensive soil health assessment. Current single-modality approaches are fundamentally limited by the information content of any single data source. Future research should focus on developing robust data fusion architectures that can handle heterogeneous data with different spatial resolutions, temporal frequencies, and measurement uncertainties. Specific open problems include: (1) developing uncertainty-aware fusion models that propagate measurement errors through multi-modal pipelines; (2) creating standardized data formats and APIs for real-time sensor-satellite data integration; and (3) designing lightweight fusion architectures deployable on edge devices for field-level decision support. Strategies for overcoming implementation constraints include creating accessible diagnostic tools, increasing technical ability through training, and adopting favorable regulatory frameworks that might encourage the use of AI-based soil diagnostics.</w:t>
      </w:r>
    </w:p>
    <w:p>
      <w:pPr>
        <w:pStyle w:val="Heading2"/>
      </w:pPr>
      <w:r>
        <w:rPr>
          <w:rFonts w:ascii="Times New Roman" w:hAnsi="Times New Roman"/>
          <w:b/>
          <w:color w:val="000000"/>
          <w:sz w:val="24"/>
        </w:rPr>
        <w:t>4.2 Explainable AI and Trustworthy Machine Learning</w:t>
      </w:r>
    </w:p>
    <w:p>
      <w:pPr>
        <w:spacing w:after="80" w:before="40"/>
        <w:jc w:val="both"/>
      </w:pPr>
      <w:r>
        <w:rPr>
          <w:rFonts w:ascii="Times New Roman" w:hAnsi="Times New Roman"/>
          <w:b w:val="0"/>
          <w:i w:val="0"/>
          <w:sz w:val="22"/>
        </w:rPr>
        <w:t>The development of explainable and trustworthy AI is critical to improving soil health diagnostics and achieving practitioner adoption. Future research should focus on models that ensure forecast accuracy while providing transparent insights into soil-environment connections. Specific open problems include: (1) developing soil-specific XAI benchmarks that evaluate explanation quality against domain expert knowledge; (2) creating causal inference frameworks for soil science that distinguish correlation from causation in AI predictions; (3) integrating Bayesian uncertainty quantification into deep learning models to provide confidence intervals alongside predictions; and (4) designing human-AI collaborative interfaces that translate SHAP, LIME, and Grad-CAM outputs into actionable agronomic recommendations. Adversarial robustness and model dependability must also be addressed to assure performance in a variety of real-world scenarios. Fairness and bias in AI models are critical factors for achieving equal performance across varied geographic and demographic contexts.</w:t>
      </w:r>
    </w:p>
    <w:p>
      <w:pPr>
        <w:pStyle w:val="Heading2"/>
      </w:pPr>
      <w:r>
        <w:rPr>
          <w:rFonts w:ascii="Times New Roman" w:hAnsi="Times New Roman"/>
          <w:b/>
          <w:color w:val="000000"/>
          <w:sz w:val="24"/>
        </w:rPr>
        <w:t>4.3 Edge Computing and Real-Time Soil Monitoring</w:t>
      </w:r>
    </w:p>
    <w:p>
      <w:pPr>
        <w:spacing w:after="80" w:before="40"/>
        <w:jc w:val="both"/>
      </w:pPr>
      <w:r>
        <w:rPr>
          <w:rFonts w:ascii="Times New Roman" w:hAnsi="Times New Roman"/>
          <w:b w:val="0"/>
          <w:i w:val="0"/>
          <w:sz w:val="22"/>
        </w:rPr>
        <w:t>Edge computing designs provide real-time soil health monitoring by processing data locally at sensor nodes, hence lowering latency and bandwidth requirements. Compact machine learning models, as well as model compression approaches like pruning and quantization, are required for resource-constrained device deployment. Specific open problems include: (1) developing soil-specific model compression techniques that maintain prediction accuracy within 5% of full-scale models while reducing computational requirements by 80–90%; (2) designing federated learning protocols for soil monitoring networks that enable collaborative model training without sharing sensitive farm data; (3) creating neuromorphic computing architectures optimized for continuous soil sensor data streams; and (4) developing self-calibrating sensor systems that use AI to detect and correct for sensor drift without manual intervention. Federated learning allows for decentralized model training while resolving privacy issues, although it confronts problems with data delivery and communication efficiency.</w:t>
      </w:r>
    </w:p>
    <w:p>
      <w:pPr>
        <w:pStyle w:val="Heading2"/>
      </w:pPr>
      <w:r>
        <w:rPr>
          <w:rFonts w:ascii="Times New Roman" w:hAnsi="Times New Roman"/>
          <w:b/>
          <w:color w:val="000000"/>
          <w:sz w:val="24"/>
        </w:rPr>
        <w:t>4.4 Emerging Technologies and Interdisciplinary Integration</w:t>
      </w:r>
    </w:p>
    <w:p>
      <w:pPr>
        <w:spacing w:after="80" w:before="40"/>
        <w:jc w:val="both"/>
      </w:pPr>
      <w:r>
        <w:rPr>
          <w:rFonts w:ascii="Times New Roman" w:hAnsi="Times New Roman"/>
          <w:b w:val="0"/>
          <w:i w:val="0"/>
          <w:sz w:val="22"/>
        </w:rPr>
        <w:t>Quantum computing and synthetic biology show potential in boosting soil research. Quantum computing may improve data analysis and optimization in soil management, while actual applications are still being developed. Synthetic biology provides novel soil health monitoring using created organisms that respond to soil conditions. Specific open problems include: (1) developing quantum-classical hybrid algorithms for large-scale soil property optimization problems; (2) engineering biosensor organisms with standardized, quantifiable responses to specific soil health indicators; (3) creating digital twin frameworks for soil systems that integrate AI predictions with process-based soil models for long-term scenario analysis; and (4) developing AI-driven soil carbon sequestration monitoring systems with sufficient precision for carbon credit verification (±5% accuracy at field scale). Integration of soil diagnostics with AI-driven agricultural models is critical for successful management suggestions, despite hurdles in model coupling and user interface design.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val="clear" w:color="auto" w:fill="D9E1F2"/>
          </w:tcPr>
          <w:p>
            <w:r>
              <w:rPr>
                <w:rFonts w:ascii="Times New Roman" w:hAnsi="Times New Roman"/>
                <w:b/>
                <w:sz w:val="18"/>
              </w:rPr>
              <w:t>Research Direction</w:t>
            </w:r>
          </w:p>
        </w:tc>
        <w:tc>
          <w:tcPr>
            <w:tcW w:type="dxa" w:w="1728"/>
            <w:shd w:val="clear" w:color="auto" w:fill="D9E1F2"/>
          </w:tcPr>
          <w:p>
            <w:r>
              <w:rPr>
                <w:rFonts w:ascii="Times New Roman" w:hAnsi="Times New Roman"/>
                <w:b/>
                <w:sz w:val="18"/>
              </w:rPr>
              <w:t>Specific Open Problem</w:t>
            </w:r>
          </w:p>
        </w:tc>
        <w:tc>
          <w:tcPr>
            <w:tcW w:type="dxa" w:w="1728"/>
            <w:shd w:val="clear" w:color="auto" w:fill="D9E1F2"/>
          </w:tcPr>
          <w:p>
            <w:r>
              <w:rPr>
                <w:rFonts w:ascii="Times New Roman" w:hAnsi="Times New Roman"/>
                <w:b/>
                <w:sz w:val="18"/>
              </w:rPr>
              <w:t>Technical Readiness</w:t>
            </w:r>
          </w:p>
        </w:tc>
        <w:tc>
          <w:tcPr>
            <w:tcW w:type="dxa" w:w="1728"/>
            <w:shd w:val="clear" w:color="auto" w:fill="D9E1F2"/>
          </w:tcPr>
          <w:p>
            <w:r>
              <w:rPr>
                <w:rFonts w:ascii="Times New Roman" w:hAnsi="Times New Roman"/>
                <w:b/>
                <w:sz w:val="18"/>
              </w:rPr>
              <w:t>Priority</w:t>
            </w:r>
          </w:p>
        </w:tc>
        <w:tc>
          <w:tcPr>
            <w:tcW w:type="dxa" w:w="1728"/>
            <w:shd w:val="clear" w:color="auto" w:fill="D9E1F2"/>
          </w:tcPr>
          <w:p>
            <w:r>
              <w:rPr>
                <w:rFonts w:ascii="Times New Roman" w:hAnsi="Times New Roman"/>
                <w:b/>
                <w:sz w:val="18"/>
              </w:rPr>
              <w:t>Expected Impact</w:t>
            </w:r>
          </w:p>
        </w:tc>
      </w:tr>
      <w:tr>
        <w:tc>
          <w:tcPr>
            <w:tcW w:type="dxa" w:w="1728"/>
          </w:tcPr>
          <w:p>
            <w:r>
              <w:rPr>
                <w:rFonts w:ascii="Times New Roman" w:hAnsi="Times New Roman"/>
                <w:sz w:val="18"/>
              </w:rPr>
              <w:t>Multi-modal fusion</w:t>
            </w:r>
          </w:p>
        </w:tc>
        <w:tc>
          <w:tcPr>
            <w:tcW w:type="dxa" w:w="1728"/>
          </w:tcPr>
          <w:p>
            <w:r>
              <w:rPr>
                <w:rFonts w:ascii="Times New Roman" w:hAnsi="Times New Roman"/>
                <w:sz w:val="18"/>
              </w:rPr>
              <w:t>Uncertainty-aware heterogeneous data fusion</w:t>
            </w:r>
          </w:p>
        </w:tc>
        <w:tc>
          <w:tcPr>
            <w:tcW w:type="dxa" w:w="1728"/>
          </w:tcPr>
          <w:p>
            <w:r>
              <w:rPr>
                <w:rFonts w:ascii="Times New Roman" w:hAnsi="Times New Roman"/>
                <w:sz w:val="18"/>
              </w:rPr>
              <w:t>Medium (TRL 4–5)</w:t>
            </w:r>
          </w:p>
        </w:tc>
        <w:tc>
          <w:tcPr>
            <w:tcW w:type="dxa" w:w="1728"/>
          </w:tcPr>
          <w:p>
            <w:r>
              <w:rPr>
                <w:rFonts w:ascii="Times New Roman" w:hAnsi="Times New Roman"/>
                <w:sz w:val="18"/>
              </w:rPr>
              <w:t>High</w:t>
            </w:r>
          </w:p>
        </w:tc>
        <w:tc>
          <w:tcPr>
            <w:tcW w:type="dxa" w:w="1728"/>
          </w:tcPr>
          <w:p>
            <w:r>
              <w:rPr>
                <w:rFonts w:ascii="Times New Roman" w:hAnsi="Times New Roman"/>
                <w:sz w:val="18"/>
              </w:rPr>
              <w:t>20–30% accuracy improvement</w:t>
            </w:r>
          </w:p>
        </w:tc>
      </w:tr>
      <w:tr>
        <w:tc>
          <w:tcPr>
            <w:tcW w:type="dxa" w:w="1728"/>
          </w:tcPr>
          <w:p>
            <w:r>
              <w:rPr>
                <w:rFonts w:ascii="Times New Roman" w:hAnsi="Times New Roman"/>
                <w:sz w:val="18"/>
              </w:rPr>
              <w:t>XAI for soil</w:t>
            </w:r>
          </w:p>
        </w:tc>
        <w:tc>
          <w:tcPr>
            <w:tcW w:type="dxa" w:w="1728"/>
          </w:tcPr>
          <w:p>
            <w:r>
              <w:rPr>
                <w:rFonts w:ascii="Times New Roman" w:hAnsi="Times New Roman"/>
                <w:sz w:val="18"/>
              </w:rPr>
              <w:t>Soil-specific XAI benchmarks and causal inference</w:t>
            </w:r>
          </w:p>
        </w:tc>
        <w:tc>
          <w:tcPr>
            <w:tcW w:type="dxa" w:w="1728"/>
          </w:tcPr>
          <w:p>
            <w:r>
              <w:rPr>
                <w:rFonts w:ascii="Times New Roman" w:hAnsi="Times New Roman"/>
                <w:sz w:val="18"/>
              </w:rPr>
              <w:t>Low-Medium (TRL 3–4)</w:t>
            </w:r>
          </w:p>
        </w:tc>
        <w:tc>
          <w:tcPr>
            <w:tcW w:type="dxa" w:w="1728"/>
          </w:tcPr>
          <w:p>
            <w:r>
              <w:rPr>
                <w:rFonts w:ascii="Times New Roman" w:hAnsi="Times New Roman"/>
                <w:sz w:val="18"/>
              </w:rPr>
              <w:t>High</w:t>
            </w:r>
          </w:p>
        </w:tc>
        <w:tc>
          <w:tcPr>
            <w:tcW w:type="dxa" w:w="1728"/>
          </w:tcPr>
          <w:p>
            <w:r>
              <w:rPr>
                <w:rFonts w:ascii="Times New Roman" w:hAnsi="Times New Roman"/>
                <w:sz w:val="18"/>
              </w:rPr>
              <w:t>Practitioner adoption, trust</w:t>
            </w:r>
          </w:p>
        </w:tc>
      </w:tr>
      <w:tr>
        <w:tc>
          <w:tcPr>
            <w:tcW w:type="dxa" w:w="1728"/>
          </w:tcPr>
          <w:p>
            <w:r>
              <w:rPr>
                <w:rFonts w:ascii="Times New Roman" w:hAnsi="Times New Roman"/>
                <w:sz w:val="18"/>
              </w:rPr>
              <w:t>Edge AI</w:t>
            </w:r>
          </w:p>
        </w:tc>
        <w:tc>
          <w:tcPr>
            <w:tcW w:type="dxa" w:w="1728"/>
          </w:tcPr>
          <w:p>
            <w:r>
              <w:rPr>
                <w:rFonts w:ascii="Times New Roman" w:hAnsi="Times New Roman"/>
                <w:sz w:val="18"/>
              </w:rPr>
              <w:t>Model compression for field-deployable soil AI</w:t>
            </w:r>
          </w:p>
        </w:tc>
        <w:tc>
          <w:tcPr>
            <w:tcW w:type="dxa" w:w="1728"/>
          </w:tcPr>
          <w:p>
            <w:r>
              <w:rPr>
                <w:rFonts w:ascii="Times New Roman" w:hAnsi="Times New Roman"/>
                <w:sz w:val="18"/>
              </w:rPr>
              <w:t>Medium (TRL 5–6)</w:t>
            </w:r>
          </w:p>
        </w:tc>
        <w:tc>
          <w:tcPr>
            <w:tcW w:type="dxa" w:w="1728"/>
          </w:tcPr>
          <w:p>
            <w:r>
              <w:rPr>
                <w:rFonts w:ascii="Times New Roman" w:hAnsi="Times New Roman"/>
                <w:sz w:val="18"/>
              </w:rPr>
              <w:t>High</w:t>
            </w:r>
          </w:p>
        </w:tc>
        <w:tc>
          <w:tcPr>
            <w:tcW w:type="dxa" w:w="1728"/>
          </w:tcPr>
          <w:p>
            <w:r>
              <w:rPr>
                <w:rFonts w:ascii="Times New Roman" w:hAnsi="Times New Roman"/>
                <w:sz w:val="18"/>
              </w:rPr>
              <w:t>Real-time field diagnostics</w:t>
            </w:r>
          </w:p>
        </w:tc>
      </w:tr>
      <w:tr>
        <w:tc>
          <w:tcPr>
            <w:tcW w:type="dxa" w:w="1728"/>
          </w:tcPr>
          <w:p>
            <w:r>
              <w:rPr>
                <w:rFonts w:ascii="Times New Roman" w:hAnsi="Times New Roman"/>
                <w:sz w:val="18"/>
              </w:rPr>
              <w:t>Federated learning</w:t>
            </w:r>
          </w:p>
        </w:tc>
        <w:tc>
          <w:tcPr>
            <w:tcW w:type="dxa" w:w="1728"/>
          </w:tcPr>
          <w:p>
            <w:r>
              <w:rPr>
                <w:rFonts w:ascii="Times New Roman" w:hAnsi="Times New Roman"/>
                <w:sz w:val="18"/>
              </w:rPr>
              <w:t>Privacy-preserving collaborative soil model training</w:t>
            </w:r>
          </w:p>
        </w:tc>
        <w:tc>
          <w:tcPr>
            <w:tcW w:type="dxa" w:w="1728"/>
          </w:tcPr>
          <w:p>
            <w:r>
              <w:rPr>
                <w:rFonts w:ascii="Times New Roman" w:hAnsi="Times New Roman"/>
                <w:sz w:val="18"/>
              </w:rPr>
              <w:t>Low-Medium (TRL 3–4)</w:t>
            </w:r>
          </w:p>
        </w:tc>
        <w:tc>
          <w:tcPr>
            <w:tcW w:type="dxa" w:w="1728"/>
          </w:tcPr>
          <w:p>
            <w:r>
              <w:rPr>
                <w:rFonts w:ascii="Times New Roman" w:hAnsi="Times New Roman"/>
                <w:sz w:val="18"/>
              </w:rPr>
              <w:t>Medium</w:t>
            </w:r>
          </w:p>
        </w:tc>
        <w:tc>
          <w:tcPr>
            <w:tcW w:type="dxa" w:w="1728"/>
          </w:tcPr>
          <w:p>
            <w:r>
              <w:rPr>
                <w:rFonts w:ascii="Times New Roman" w:hAnsi="Times New Roman"/>
                <w:sz w:val="18"/>
              </w:rPr>
              <w:t>Global model generalization</w:t>
            </w:r>
          </w:p>
        </w:tc>
      </w:tr>
      <w:tr>
        <w:tc>
          <w:tcPr>
            <w:tcW w:type="dxa" w:w="1728"/>
          </w:tcPr>
          <w:p>
            <w:r>
              <w:rPr>
                <w:rFonts w:ascii="Times New Roman" w:hAnsi="Times New Roman"/>
                <w:sz w:val="18"/>
              </w:rPr>
              <w:t>Spectral preprocessing</w:t>
            </w:r>
          </w:p>
        </w:tc>
        <w:tc>
          <w:tcPr>
            <w:tcW w:type="dxa" w:w="1728"/>
          </w:tcPr>
          <w:p>
            <w:r>
              <w:rPr>
                <w:rFonts w:ascii="Times New Roman" w:hAnsi="Times New Roman"/>
                <w:sz w:val="18"/>
              </w:rPr>
              <w:t>Automated adaptive preprocessing pipelines</w:t>
            </w:r>
          </w:p>
        </w:tc>
        <w:tc>
          <w:tcPr>
            <w:tcW w:type="dxa" w:w="1728"/>
          </w:tcPr>
          <w:p>
            <w:r>
              <w:rPr>
                <w:rFonts w:ascii="Times New Roman" w:hAnsi="Times New Roman"/>
                <w:sz w:val="18"/>
              </w:rPr>
              <w:t>Medium (TRL 5)</w:t>
            </w:r>
          </w:p>
        </w:tc>
        <w:tc>
          <w:tcPr>
            <w:tcW w:type="dxa" w:w="1728"/>
          </w:tcPr>
          <w:p>
            <w:r>
              <w:rPr>
                <w:rFonts w:ascii="Times New Roman" w:hAnsi="Times New Roman"/>
                <w:sz w:val="18"/>
              </w:rPr>
              <w:t>High</w:t>
            </w:r>
          </w:p>
        </w:tc>
        <w:tc>
          <w:tcPr>
            <w:tcW w:type="dxa" w:w="1728"/>
          </w:tcPr>
          <w:p>
            <w:r>
              <w:rPr>
                <w:rFonts w:ascii="Times New Roman" w:hAnsi="Times New Roman"/>
                <w:sz w:val="18"/>
              </w:rPr>
              <w:t>15–25% accuracy improvement</w:t>
            </w:r>
          </w:p>
        </w:tc>
      </w:tr>
      <w:tr>
        <w:tc>
          <w:tcPr>
            <w:tcW w:type="dxa" w:w="1728"/>
          </w:tcPr>
          <w:p>
            <w:r>
              <w:rPr>
                <w:rFonts w:ascii="Times New Roman" w:hAnsi="Times New Roman"/>
                <w:sz w:val="18"/>
              </w:rPr>
              <w:t>Transfer learning</w:t>
            </w:r>
          </w:p>
        </w:tc>
        <w:tc>
          <w:tcPr>
            <w:tcW w:type="dxa" w:w="1728"/>
          </w:tcPr>
          <w:p>
            <w:r>
              <w:rPr>
                <w:rFonts w:ascii="Times New Roman" w:hAnsi="Times New Roman"/>
                <w:sz w:val="18"/>
              </w:rPr>
              <w:t>Cross-continental soil model adaptation</w:t>
            </w:r>
          </w:p>
        </w:tc>
        <w:tc>
          <w:tcPr>
            <w:tcW w:type="dxa" w:w="1728"/>
          </w:tcPr>
          <w:p>
            <w:r>
              <w:rPr>
                <w:rFonts w:ascii="Times New Roman" w:hAnsi="Times New Roman"/>
                <w:sz w:val="18"/>
              </w:rPr>
              <w:t>Medium (TRL 4–5)</w:t>
            </w:r>
          </w:p>
        </w:tc>
        <w:tc>
          <w:tcPr>
            <w:tcW w:type="dxa" w:w="1728"/>
          </w:tcPr>
          <w:p>
            <w:r>
              <w:rPr>
                <w:rFonts w:ascii="Times New Roman" w:hAnsi="Times New Roman"/>
                <w:sz w:val="18"/>
              </w:rPr>
              <w:t>High</w:t>
            </w:r>
          </w:p>
        </w:tc>
        <w:tc>
          <w:tcPr>
            <w:tcW w:type="dxa" w:w="1728"/>
          </w:tcPr>
          <w:p>
            <w:r>
              <w:rPr>
                <w:rFonts w:ascii="Times New Roman" w:hAnsi="Times New Roman"/>
                <w:sz w:val="18"/>
              </w:rPr>
              <w:t>Data-poor region coverage</w:t>
            </w:r>
          </w:p>
        </w:tc>
      </w:tr>
      <w:tr>
        <w:tc>
          <w:tcPr>
            <w:tcW w:type="dxa" w:w="1728"/>
          </w:tcPr>
          <w:p>
            <w:r>
              <w:rPr>
                <w:rFonts w:ascii="Times New Roman" w:hAnsi="Times New Roman"/>
                <w:sz w:val="18"/>
              </w:rPr>
              <w:t>Quantum computing</w:t>
            </w:r>
          </w:p>
        </w:tc>
        <w:tc>
          <w:tcPr>
            <w:tcW w:type="dxa" w:w="1728"/>
          </w:tcPr>
          <w:p>
            <w:r>
              <w:rPr>
                <w:rFonts w:ascii="Times New Roman" w:hAnsi="Times New Roman"/>
                <w:sz w:val="18"/>
              </w:rPr>
              <w:t>Quantum optimization for soil mapping</w:t>
            </w:r>
          </w:p>
        </w:tc>
        <w:tc>
          <w:tcPr>
            <w:tcW w:type="dxa" w:w="1728"/>
          </w:tcPr>
          <w:p>
            <w:r>
              <w:rPr>
                <w:rFonts w:ascii="Times New Roman" w:hAnsi="Times New Roman"/>
                <w:sz w:val="18"/>
              </w:rPr>
              <w:t>Low (TRL 2–3)</w:t>
            </w:r>
          </w:p>
        </w:tc>
        <w:tc>
          <w:tcPr>
            <w:tcW w:type="dxa" w:w="1728"/>
          </w:tcPr>
          <w:p>
            <w:r>
              <w:rPr>
                <w:rFonts w:ascii="Times New Roman" w:hAnsi="Times New Roman"/>
                <w:sz w:val="18"/>
              </w:rPr>
              <w:t>Low-Medium</w:t>
            </w:r>
          </w:p>
        </w:tc>
        <w:tc>
          <w:tcPr>
            <w:tcW w:type="dxa" w:w="1728"/>
          </w:tcPr>
          <w:p>
            <w:r>
              <w:rPr>
                <w:rFonts w:ascii="Times New Roman" w:hAnsi="Times New Roman"/>
                <w:sz w:val="18"/>
              </w:rPr>
              <w:t>Long-term computational gains</w:t>
            </w:r>
          </w:p>
        </w:tc>
      </w:tr>
      <w:tr>
        <w:tc>
          <w:tcPr>
            <w:tcW w:type="dxa" w:w="1728"/>
          </w:tcPr>
          <w:p>
            <w:r>
              <w:rPr>
                <w:rFonts w:ascii="Times New Roman" w:hAnsi="Times New Roman"/>
                <w:sz w:val="18"/>
              </w:rPr>
              <w:t>Synthetic biology</w:t>
            </w:r>
          </w:p>
        </w:tc>
        <w:tc>
          <w:tcPr>
            <w:tcW w:type="dxa" w:w="1728"/>
          </w:tcPr>
          <w:p>
            <w:r>
              <w:rPr>
                <w:rFonts w:ascii="Times New Roman" w:hAnsi="Times New Roman"/>
                <w:sz w:val="18"/>
              </w:rPr>
              <w:t>Engineered biosensors for soil health</w:t>
            </w:r>
          </w:p>
        </w:tc>
        <w:tc>
          <w:tcPr>
            <w:tcW w:type="dxa" w:w="1728"/>
          </w:tcPr>
          <w:p>
            <w:r>
              <w:rPr>
                <w:rFonts w:ascii="Times New Roman" w:hAnsi="Times New Roman"/>
                <w:sz w:val="18"/>
              </w:rPr>
              <w:t>Low (TRL 2–3)</w:t>
            </w:r>
          </w:p>
        </w:tc>
        <w:tc>
          <w:tcPr>
            <w:tcW w:type="dxa" w:w="1728"/>
          </w:tcPr>
          <w:p>
            <w:r>
              <w:rPr>
                <w:rFonts w:ascii="Times New Roman" w:hAnsi="Times New Roman"/>
                <w:sz w:val="18"/>
              </w:rPr>
              <w:t>Medium</w:t>
            </w:r>
          </w:p>
        </w:tc>
        <w:tc>
          <w:tcPr>
            <w:tcW w:type="dxa" w:w="1728"/>
          </w:tcPr>
          <w:p>
            <w:r>
              <w:rPr>
                <w:rFonts w:ascii="Times New Roman" w:hAnsi="Times New Roman"/>
                <w:sz w:val="18"/>
              </w:rPr>
              <w:t>Novel in-situ monitoring</w:t>
            </w:r>
          </w:p>
        </w:tc>
      </w:tr>
    </w:tbl>
    <w:p>
      <w:pPr>
        <w:jc w:val="center"/>
      </w:pPr>
      <w:r>
        <w:rPr>
          <w:rFonts w:ascii="Times New Roman" w:hAnsi="Times New Roman"/>
          <w:i/>
          <w:sz w:val="18"/>
        </w:rPr>
        <w:t>Table 9: Future research directions with technical readiness levels (TRL), priority levels, and expected impacts for AI-driven soil health diagnostics.</w:t>
      </w:r>
    </w:p>
    <w:p/>
    <w:p>
      <w:pPr>
        <w:spacing w:after="80" w:before="40"/>
        <w:jc w:val="center"/>
      </w:pPr>
      <w:r>
        <w:rPr>
          <w:rFonts w:ascii="Times New Roman" w:hAnsi="Times New Roman"/>
          <w:b w:val="0"/>
          <w:i/>
          <w:sz w:val="22"/>
        </w:rPr>
        <w:t>Figure 4: Future directions and emerging opportunities in AI-powered soil health diagnostics</w:t>
      </w:r>
    </w:p>
    <w:p>
      <w:pPr>
        <w:pStyle w:val="Heading1"/>
      </w:pPr>
      <w:r>
        <w:rPr>
          <w:rFonts w:ascii="Times New Roman" w:hAnsi="Times New Roman"/>
          <w:b/>
          <w:color w:val="000000"/>
          <w:sz w:val="26"/>
        </w:rPr>
        <w:t>5. Conclusion</w:t>
      </w:r>
    </w:p>
    <w:p>
      <w:pPr>
        <w:spacing w:after="80" w:before="40"/>
        <w:jc w:val="both"/>
      </w:pPr>
      <w:r>
        <w:rPr>
          <w:rFonts w:ascii="Times New Roman" w:hAnsi="Times New Roman"/>
          <w:b w:val="0"/>
          <w:i w:val="0"/>
          <w:sz w:val="22"/>
        </w:rPr>
        <w:t>The application of artificial intelligence (AI) in soil health diagnostics (SHD) has emerged as a transformative approach with the potential to change our approach to soil evaluation and management. This comprehensive review synthesized research from 2010 to 2025 following a systematic SLR/PRISMA methodology, providing a critical appraisal of accomplishments, difficulties and future prospects. The research shows that machine learning algorithms, remote sensing technologies, spectroscopic approaches and IoT sensor networks provide tremendous potential for rapid, precise, and sustainable soil health evaluation. These innovations have moved from research concepts to actual trials, with initial successes in precision agriculture and soil survey applications.</w:t>
      </w:r>
    </w:p>
    <w:p>
      <w:pPr>
        <w:spacing w:after="80" w:before="40"/>
        <w:jc w:val="both"/>
      </w:pPr>
      <w:r>
        <w:rPr>
          <w:rFonts w:ascii="Times New Roman" w:hAnsi="Times New Roman"/>
          <w:b w:val="0"/>
          <w:i w:val="0"/>
          <w:sz w:val="22"/>
        </w:rPr>
        <w:t>The proposed systematic taxonomy of AI approaches organized by data modality, algorithmic family, and application domain provides a structured framework for technology selection and research positioning. The comparative analysis against existing survey articles clearly demonstrates the novelty and added value of this review in providing integrated, multi-modal, critically analytical synthesis. Quantitative benchmarking summaries reveal that ensemble ML methods achieve R² values of 0.80–0.93 for SOC prediction, while deep learning approaches with proper spectroscopic preprocessing can reach R² values of 0.85–0.97. The critical evaluation of XAI techniques — SHAP, LIME, and Grad-CAM — with specific implications for soil diagnostics addresses a significant gap in prior reviews and provides practical guidance for practitioners seeking to deploy interpretable AI systems.</w:t>
      </w:r>
    </w:p>
    <w:p>
      <w:pPr>
        <w:spacing w:after="80" w:before="40"/>
        <w:jc w:val="both"/>
      </w:pPr>
      <w:r>
        <w:rPr>
          <w:rFonts w:ascii="Times New Roman" w:hAnsi="Times New Roman"/>
          <w:b w:val="0"/>
          <w:i w:val="0"/>
          <w:sz w:val="22"/>
        </w:rPr>
        <w:t>Considerable hurdles must be overcome to fully realize the potential of AI-based soil diagnostics. Data accessibility and quality limits, model interpretability problems, scalability limitations and practical implementation challenges all pose significant impediments to wider use. Addressing these difficulties will need concerted efforts across technological development, capacity building, policy support and multidisciplinary collaboration. The technically specific research gaps identified — including uncertainty-aware multi-modal fusion, soil-specific XAI benchmarks, edge-deployable model compression, and cross-continental transfer learning — provide concrete guidance for future research investment. As worldwide demands for soil resources rise owing to population increase, climate change and environmental degradation, the need for adequate soil health diagnostic tools grows. By furthering the research and practice of AI-powered soil health diagnostics, we can contribute to global efforts to maintain food security, protect ecosystem services and construct sustainable systems of agriculture for future generations.</w:t>
      </w:r>
    </w:p>
    <w:p>
      <w:pPr>
        <w:pStyle w:val="Heading2"/>
      </w:pPr>
      <w:r>
        <w:rPr>
          <w:rFonts w:ascii="Times New Roman" w:hAnsi="Times New Roman"/>
          <w:b/>
          <w:color w:val="000000"/>
          <w:sz w:val="24"/>
        </w:rPr>
        <w:t>Author Contributions</w:t>
      </w:r>
    </w:p>
    <w:p>
      <w:pPr>
        <w:spacing w:after="80" w:before="40"/>
        <w:jc w:val="both"/>
      </w:pPr>
      <w:r>
        <w:rPr>
          <w:rFonts w:ascii="Times New Roman" w:hAnsi="Times New Roman"/>
          <w:b w:val="0"/>
          <w:i w:val="0"/>
          <w:sz w:val="22"/>
        </w:rPr>
        <w:t>Nasir Mehmood, Conceptualization, data curation, writing original draft; Vishnu D. Rajput, Conceptualization, supervision, review and editing; Amber Sarwar, Investigation, methodology and Validation; Vicky Anand, Formal analysis; Swarnendra Banerjee, visualization; Mohammad Gedafaw, review and editing; Saglara Mandzhieva, resources, project administration; Tatiana Minkina, resources, project administration.</w:t>
      </w:r>
    </w:p>
    <w:p>
      <w:pPr>
        <w:pStyle w:val="Heading2"/>
      </w:pPr>
      <w:r>
        <w:rPr>
          <w:rFonts w:ascii="Times New Roman" w:hAnsi="Times New Roman"/>
          <w:b/>
          <w:color w:val="000000"/>
          <w:sz w:val="24"/>
        </w:rPr>
        <w:t>Acknowledgement</w:t>
      </w:r>
    </w:p>
    <w:p>
      <w:pPr>
        <w:spacing w:after="80" w:before="40"/>
        <w:jc w:val="both"/>
      </w:pPr>
      <w:r>
        <w:rPr>
          <w:rFonts w:ascii="Times New Roman" w:hAnsi="Times New Roman"/>
          <w:b w:val="0"/>
          <w:i w:val="0"/>
          <w:sz w:val="22"/>
        </w:rPr>
        <w:t>The study was supported by the project of the Russian Science Foundation, No. 25-76-31013.</w:t>
      </w:r>
    </w:p>
    <w:p>
      <w:pPr>
        <w:pStyle w:val="Heading2"/>
      </w:pPr>
      <w:r>
        <w:rPr>
          <w:rFonts w:ascii="Times New Roman" w:hAnsi="Times New Roman"/>
          <w:b/>
          <w:color w:val="000000"/>
          <w:sz w:val="24"/>
        </w:rPr>
        <w:t>Availability of Data</w:t>
      </w:r>
    </w:p>
    <w:p>
      <w:pPr>
        <w:spacing w:after="80" w:before="40"/>
        <w:jc w:val="both"/>
      </w:pPr>
      <w:r>
        <w:rPr>
          <w:rFonts w:ascii="Times New Roman" w:hAnsi="Times New Roman"/>
          <w:b w:val="0"/>
          <w:i w:val="0"/>
          <w:sz w:val="22"/>
        </w:rPr>
        <w:t>All data that supports the study is included in the manuscript. No other data is generated for the study.</w:t>
      </w:r>
    </w:p>
    <w:p>
      <w:pPr>
        <w:pStyle w:val="Heading2"/>
      </w:pPr>
      <w:r>
        <w:rPr>
          <w:rFonts w:ascii="Times New Roman" w:hAnsi="Times New Roman"/>
          <w:b/>
          <w:color w:val="000000"/>
          <w:sz w:val="24"/>
        </w:rPr>
        <w:t>Declaration of Interests</w:t>
      </w:r>
    </w:p>
    <w:p>
      <w:pPr>
        <w:spacing w:after="80" w:before="40"/>
        <w:jc w:val="both"/>
      </w:pPr>
      <w:r>
        <w:rPr>
          <w:rFonts w:ascii="Times New Roman" w:hAnsi="Times New Roman"/>
          <w:b w:val="0"/>
          <w:i w:val="0"/>
          <w:sz w:val="22"/>
        </w:rPr>
        <w:t>The authors declare that they have no known competing financial interests or personal relationships that could have appeared to influence the work reported in this paper.</w:t>
      </w:r>
    </w:p>
    <w:p>
      <w:pPr>
        <w:pStyle w:val="Heading2"/>
      </w:pPr>
      <w:r>
        <w:rPr>
          <w:rFonts w:ascii="Times New Roman" w:hAnsi="Times New Roman"/>
          <w:b/>
          <w:color w:val="000000"/>
          <w:sz w:val="24"/>
        </w:rPr>
        <w:t>Ethics Approval</w:t>
      </w:r>
    </w:p>
    <w:p>
      <w:pPr>
        <w:spacing w:after="80" w:before="40"/>
        <w:jc w:val="both"/>
      </w:pPr>
      <w:r>
        <w:rPr>
          <w:rFonts w:ascii="Times New Roman" w:hAnsi="Times New Roman"/>
          <w:b w:val="0"/>
          <w:i w:val="0"/>
          <w:sz w:val="22"/>
        </w:rPr>
        <w:t>Not applicable.</w:t>
      </w:r>
    </w:p>
    <w:p>
      <w:pPr>
        <w:pStyle w:val="Heading1"/>
      </w:pPr>
      <w:r>
        <w:rPr>
          <w:rFonts w:ascii="Times New Roman" w:hAnsi="Times New Roman"/>
          <w:b/>
          <w:color w:val="000000"/>
          <w:sz w:val="26"/>
        </w:rPr>
        <w:t>References</w:t>
      </w:r>
    </w:p>
    <w:p>
      <w:pPr>
        <w:pStyle w:val="ListParagraph"/>
        <w:spacing w:after="40"/>
        <w:ind w:left="360" w:hanging="360"/>
      </w:pPr>
      <w:r>
        <w:rPr>
          <w:rFonts w:ascii="Times New Roman" w:hAnsi="Times New Roman"/>
          <w:sz w:val="20"/>
        </w:rPr>
        <w:t>Abdulraheem, M. I., Zhang, W., Li, S., Moshayedi, A. J., Farooque, A. A., &amp; Hu, J. (2023). Advancement of remote sensing for soil measurements and applications: A comprehensive review. Sustainability, 15(21), 15444.</w:t>
      </w:r>
    </w:p>
    <w:p>
      <w:pPr>
        <w:pStyle w:val="ListParagraph"/>
        <w:spacing w:after="40"/>
        <w:ind w:left="360" w:hanging="360"/>
      </w:pPr>
      <w:r>
        <w:rPr>
          <w:rFonts w:ascii="Times New Roman" w:hAnsi="Times New Roman"/>
          <w:sz w:val="20"/>
        </w:rPr>
        <w:t>Abeje, B. T., Salau, A. O., Gela, B. M., &amp; Mengistu, A. D. (2024). Soil type identification model using a hybrid computer vision and machine learning approach. Multimedia Tools and Applications, 83(1), 575-589.</w:t>
      </w:r>
    </w:p>
    <w:p>
      <w:pPr>
        <w:pStyle w:val="ListParagraph"/>
        <w:spacing w:after="40"/>
        <w:ind w:left="360" w:hanging="360"/>
      </w:pPr>
      <w:r>
        <w:rPr>
          <w:rFonts w:ascii="Times New Roman" w:hAnsi="Times New Roman"/>
          <w:sz w:val="20"/>
        </w:rPr>
        <w:t>Adamchuk, V. I., Viscarra Rossel, R. A., Marx, D. B., &amp; Samal, A. K. (2018). Using targeted sampling to process multivariate soil sensing data. Geoderma, 318, 137-142.</w:t>
      </w:r>
    </w:p>
    <w:p>
      <w:pPr>
        <w:pStyle w:val="ListParagraph"/>
        <w:spacing w:after="40"/>
        <w:ind w:left="360" w:hanging="360"/>
      </w:pPr>
      <w:r>
        <w:rPr>
          <w:rFonts w:ascii="Times New Roman" w:hAnsi="Times New Roman"/>
          <w:sz w:val="20"/>
        </w:rPr>
        <w:t>Adeyemi, O., Grove, I., Peets, S., &amp; Norton, T. (2017). Advanced monitoring and management systems for improving sustainability in precision irrigation. Sustainability, 9(3), 353.</w:t>
      </w:r>
    </w:p>
    <w:p>
      <w:pPr>
        <w:pStyle w:val="ListParagraph"/>
        <w:spacing w:after="40"/>
        <w:ind w:left="360" w:hanging="360"/>
      </w:pPr>
      <w:r>
        <w:rPr>
          <w:rFonts w:ascii="Times New Roman" w:hAnsi="Times New Roman"/>
          <w:sz w:val="20"/>
        </w:rPr>
        <w:t>Agarwal, R., Melnick, L., Frosst, N., Zhang, X., Lengerich, B., Caruana, R., &amp; Hinton, G. E. (2021). Neural additive models: Interpretable machine learning with neural nets. Advances in Neural Information Processing Systems, 34, 4699-4711.</w:t>
      </w:r>
    </w:p>
    <w:p>
      <w:pPr>
        <w:pStyle w:val="ListParagraph"/>
        <w:spacing w:after="40"/>
        <w:ind w:left="360" w:hanging="360"/>
      </w:pPr>
      <w:r>
        <w:rPr>
          <w:rFonts w:ascii="Times New Roman" w:hAnsi="Times New Roman"/>
          <w:sz w:val="20"/>
        </w:rPr>
        <w:t>Ahmad, M. N., Anuar, M. I., Abd Aziz, N., &amp; Murdi, A. A. (2025). Function and application of Soil Electrical Conductivity (EC) sensor in agriculture: A Review. Advances in Agricultural and Food Research Journal, 6(1).</w:t>
      </w:r>
    </w:p>
    <w:p>
      <w:pPr>
        <w:pStyle w:val="ListParagraph"/>
        <w:spacing w:after="40"/>
        <w:ind w:left="360" w:hanging="360"/>
      </w:pPr>
      <w:r>
        <w:rPr>
          <w:rFonts w:ascii="Times New Roman" w:hAnsi="Times New Roman"/>
          <w:sz w:val="20"/>
        </w:rPr>
        <w:t>Ahmad, S., Kaushik, R., Ghatuary, R., Kotiyal, A., Jarial, S., &amp; Kumar, R. (2025). Utilizing IoT and AI for Soil Health Monitoring and Enhancement in Sustainable Agriculture. In IoT and Advanced Intelligence Computation for Smart Agriculture (pp. 110-125). CRC Press.</w:t>
      </w:r>
    </w:p>
    <w:p>
      <w:pPr>
        <w:pStyle w:val="ListParagraph"/>
        <w:spacing w:after="40"/>
        <w:ind w:left="360" w:hanging="360"/>
      </w:pPr>
      <w:r>
        <w:rPr>
          <w:rFonts w:ascii="Times New Roman" w:hAnsi="Times New Roman"/>
          <w:sz w:val="20"/>
        </w:rPr>
        <w:t>Ahmadi, A., Emami, M., Daccache, A., &amp; He, L. (2021). Soil properties prediction for precision agriculture using visible and near-infrared spectroscopy: A systematic review and meta-analysis. Agronomy, 11(3), 433.</w:t>
      </w:r>
    </w:p>
    <w:p>
      <w:pPr>
        <w:pStyle w:val="ListParagraph"/>
        <w:spacing w:after="40"/>
        <w:ind w:left="360" w:hanging="360"/>
      </w:pPr>
      <w:r>
        <w:rPr>
          <w:rFonts w:ascii="Times New Roman" w:hAnsi="Times New Roman"/>
          <w:sz w:val="20"/>
        </w:rPr>
        <w:t>Al-Yadumi, S., Xion, T. E., Wei, S. G. W., &amp; Boursier, P. (2021). Review on integrating geospatial big datasets and open research issues. IEEE Access, 9, 10604-10620.</w:t>
      </w:r>
    </w:p>
    <w:p>
      <w:pPr>
        <w:pStyle w:val="ListParagraph"/>
        <w:spacing w:after="40"/>
        <w:ind w:left="360" w:hanging="360"/>
      </w:pPr>
      <w:r>
        <w:rPr>
          <w:rFonts w:ascii="Times New Roman" w:hAnsi="Times New Roman"/>
          <w:sz w:val="20"/>
        </w:rPr>
        <w:t>Ansari, M. N., Gupta, S., Kumar, D., &amp; Hussain, B. (2024). Adoption Challenges and Incentives for IoT and AI in Agriculture. In Agriculture 4.0 (pp. 355-372). CRC Press.</w:t>
      </w:r>
    </w:p>
    <w:p>
      <w:pPr>
        <w:pStyle w:val="ListParagraph"/>
        <w:spacing w:after="40"/>
        <w:ind w:left="360" w:hanging="360"/>
      </w:pPr>
      <w:r>
        <w:rPr>
          <w:rFonts w:ascii="Times New Roman" w:hAnsi="Times New Roman"/>
          <w:sz w:val="20"/>
        </w:rPr>
        <w:t>Arogundade, J. B., &amp; Njoku, T. K. (2024). Maximizing crop yields through AI-driven precision agriculture and machine learning. Int Res J Mod Eng Technol Sci.</w:t>
      </w:r>
    </w:p>
    <w:p>
      <w:pPr>
        <w:pStyle w:val="ListParagraph"/>
        <w:spacing w:after="40"/>
        <w:ind w:left="360" w:hanging="360"/>
      </w:pPr>
      <w:r>
        <w:rPr>
          <w:rFonts w:ascii="Times New Roman" w:hAnsi="Times New Roman"/>
          <w:sz w:val="20"/>
        </w:rPr>
        <w:t>Arrieta, A. B., Diaz-Rodriguez, N., Del Ser, J., Bennetot, A., Tabik, S., Barbado, A., ... &amp; Herrera, F. (2020). Explainable artificial intelligence (XAI): Concepts, taxonomies, opportunities and challenges toward responsible AI. Information Fusion, 58, 82-115.</w:t>
      </w:r>
    </w:p>
    <w:p>
      <w:pPr>
        <w:pStyle w:val="ListParagraph"/>
        <w:spacing w:after="40"/>
        <w:ind w:left="360" w:hanging="360"/>
      </w:pPr>
      <w:r>
        <w:rPr>
          <w:rFonts w:ascii="Times New Roman" w:hAnsi="Times New Roman"/>
          <w:sz w:val="20"/>
        </w:rPr>
        <w:t>Arroba, P., Buyya, R., Cardenas, R., Risco-Martin, J. L., &amp; Moya, J. M. (2024). Sustainable edge computing: Challenges and future directions. Software: Practice and Experience, 54(11), 2272-2296.</w:t>
      </w:r>
    </w:p>
    <w:p>
      <w:pPr>
        <w:pStyle w:val="ListParagraph"/>
        <w:spacing w:after="40"/>
        <w:ind w:left="360" w:hanging="360"/>
      </w:pPr>
      <w:r>
        <w:rPr>
          <w:rFonts w:ascii="Times New Roman" w:hAnsi="Times New Roman"/>
          <w:sz w:val="20"/>
        </w:rPr>
        <w:t>Arrouays, D., Grundy, M. G., Hartemink, A. E., Hempel, J. W., Heuvelink, G. B., Hong, S. Y., ... &amp; Zhang, G. L. (2017). GlobalSoilMap: Toward a fine-resolution global grid of soil properties. Advances in Agronomy, 125, 93-134.</w:t>
      </w:r>
    </w:p>
    <w:p>
      <w:pPr>
        <w:pStyle w:val="ListParagraph"/>
        <w:spacing w:after="40"/>
        <w:ind w:left="360" w:hanging="360"/>
      </w:pPr>
      <w:r>
        <w:rPr>
          <w:rFonts w:ascii="Times New Roman" w:hAnsi="Times New Roman"/>
          <w:sz w:val="20"/>
        </w:rPr>
        <w:t>Asswad, J., &amp; Marx Gomez, J. (2021). Data ownership: a survey. Information, 12(11), 465.</w:t>
      </w:r>
    </w:p>
    <w:p>
      <w:pPr>
        <w:pStyle w:val="ListParagraph"/>
        <w:spacing w:after="40"/>
        <w:ind w:left="360" w:hanging="360"/>
      </w:pPr>
      <w:r>
        <w:rPr>
          <w:rFonts w:ascii="Times New Roman" w:hAnsi="Times New Roman"/>
          <w:sz w:val="20"/>
        </w:rPr>
        <w:t>Atapattu, A. J., Perera, L. K., Nuwarapaksha, T. D., Udumann, S. S., &amp; Dissanayaka, N. S. (2024). Challenges in achieving artificial intelligence in agriculture. In Artificial intelligence techniques in smart agriculture (pp. 7-34). Singapore: Springer Nature Singapore.</w:t>
      </w:r>
    </w:p>
    <w:p>
      <w:pPr>
        <w:pStyle w:val="ListParagraph"/>
        <w:spacing w:after="40"/>
        <w:ind w:left="360" w:hanging="360"/>
      </w:pPr>
      <w:r>
        <w:rPr>
          <w:rFonts w:ascii="Times New Roman" w:hAnsi="Times New Roman"/>
          <w:sz w:val="20"/>
        </w:rPr>
        <w:t>Avasthi, S., Chauhan, R., &amp; Tripathi, S. L. (2025). Artificial intelligence-powered agriculture and sustainable practices in developing countries. In Hyperautomation in Precision Agriculture (pp. 49-62). Academic Press.</w:t>
      </w:r>
    </w:p>
    <w:p>
      <w:pPr>
        <w:pStyle w:val="ListParagraph"/>
        <w:spacing w:after="40"/>
        <w:ind w:left="360" w:hanging="360"/>
      </w:pPr>
      <w:r>
        <w:rPr>
          <w:rFonts w:ascii="Times New Roman" w:hAnsi="Times New Roman"/>
          <w:sz w:val="20"/>
        </w:rPr>
        <w:t>Bahadori-Jahromi, A., Room, S., Paknahad, C., Altekreeti, M., Tariq, Z., &amp; Tahayori, H. (2025). The role of artificial intelligence and machine learning in advancing civil engineering: A comprehensive review. Applied Sciences, 15(19), 10499.</w:t>
      </w:r>
    </w:p>
    <w:p>
      <w:pPr>
        <w:pStyle w:val="ListParagraph"/>
        <w:spacing w:after="40"/>
        <w:ind w:left="360" w:hanging="360"/>
      </w:pPr>
      <w:r>
        <w:rPr>
          <w:rFonts w:ascii="Times New Roman" w:hAnsi="Times New Roman"/>
          <w:sz w:val="20"/>
        </w:rPr>
        <w:t>Barrena-Gonzalez, J., Gabourel-Landaverde, V. A., Mora, J., Contador, J. F. L., &amp; Fernandez, M. P. (2023). Exploring soil property spatial patterns in a small grazed catchment using machine learning. Earth Science Informatics, 16(4), 3811-3838.</w:t>
      </w:r>
    </w:p>
    <w:p>
      <w:pPr>
        <w:pStyle w:val="ListParagraph"/>
        <w:spacing w:after="40"/>
        <w:ind w:left="360" w:hanging="360"/>
      </w:pPr>
      <w:r>
        <w:rPr>
          <w:rFonts w:ascii="Times New Roman" w:hAnsi="Times New Roman"/>
          <w:sz w:val="20"/>
        </w:rPr>
        <w:t>Basak, A., Schmidt, K. M., &amp; Mengshoel, O. J. (2023). From data to interpretable models: machine learning for soil moisture forecasting. International Journal of Data Science and Analytics, 15(1), 9-32.</w:t>
      </w:r>
    </w:p>
    <w:p>
      <w:pPr>
        <w:pStyle w:val="ListParagraph"/>
        <w:spacing w:after="40"/>
        <w:ind w:left="360" w:hanging="360"/>
      </w:pPr>
      <w:r>
        <w:rPr>
          <w:rFonts w:ascii="Times New Roman" w:hAnsi="Times New Roman"/>
          <w:sz w:val="20"/>
        </w:rPr>
        <w:t>Bec, K. B., Grabska, J., &amp; Huck, C. W. (2021). Principles and applications of miniaturized near-infrared (NIR) spectrometers. Chemistry-A European Journal, 27(5), 1514-1532.</w:t>
      </w:r>
    </w:p>
    <w:p>
      <w:pPr>
        <w:pStyle w:val="ListParagraph"/>
        <w:spacing w:after="40"/>
        <w:ind w:left="360" w:hanging="360"/>
      </w:pPr>
      <w:r>
        <w:rPr>
          <w:rFonts w:ascii="Times New Roman" w:hAnsi="Times New Roman"/>
          <w:sz w:val="20"/>
        </w:rPr>
        <w:t>Behrens, T., Schmidt, K., Viscarra Rossel, R. A., Gries, P., Scholten, T., &amp; MacMillan, R. A. (2018). Spatial modelling with Euclidean distance fields and machine learning. European Journal of Soil Science, 69(5), 757-770.</w:t>
      </w:r>
    </w:p>
    <w:p>
      <w:pPr>
        <w:pStyle w:val="ListParagraph"/>
        <w:spacing w:after="40"/>
        <w:ind w:left="360" w:hanging="360"/>
      </w:pPr>
      <w:r>
        <w:rPr>
          <w:rFonts w:ascii="Times New Roman" w:hAnsi="Times New Roman"/>
          <w:sz w:val="20"/>
        </w:rPr>
        <w:t>Biazar, S. M., Golmohammadi, G., Nedhunuri, R. R., Shaghaghi, S., &amp; Mohammadi, K. (2025). Artificial intelligence in hydrology: advancements in soil, water resource management, and sustainable development. Sustainability, 17(5), 2250.</w:t>
      </w:r>
    </w:p>
    <w:p>
      <w:pPr>
        <w:pStyle w:val="ListParagraph"/>
        <w:spacing w:after="40"/>
        <w:ind w:left="360" w:hanging="360"/>
      </w:pPr>
      <w:r>
        <w:rPr>
          <w:rFonts w:ascii="Times New Roman" w:hAnsi="Times New Roman"/>
          <w:sz w:val="20"/>
        </w:rPr>
        <w:t>Buma, W., Abelev, A., &amp; Merrick, T. (2024). Vegetation spectra as an integrated measure to explain underlying soil characteristics: a review of recent advances. Frontiers in Environmental Science, 12, 1430818.</w:t>
      </w:r>
    </w:p>
    <w:p>
      <w:pPr>
        <w:pStyle w:val="ListParagraph"/>
        <w:spacing w:after="40"/>
        <w:ind w:left="360" w:hanging="360"/>
      </w:pPr>
      <w:r>
        <w:rPr>
          <w:rFonts w:ascii="Times New Roman" w:hAnsi="Times New Roman"/>
          <w:sz w:val="20"/>
        </w:rPr>
        <w:t>Castaldi, F., Hueni, A., Chabrillat, S., Ward, K., Buttafuoco, G., Bomans, B., ... &amp; van Wesemael, B. (2019). Evaluating the capability of the Sentinel 2 data for soil organic carbon prediction in croplands. ISPRS Journal of Photogrammetry and Remote Sensing, 147, 267-282.</w:t>
      </w:r>
    </w:p>
    <w:p>
      <w:pPr>
        <w:pStyle w:val="ListParagraph"/>
        <w:spacing w:after="40"/>
        <w:ind w:left="360" w:hanging="360"/>
      </w:pPr>
      <w:r>
        <w:rPr>
          <w:rFonts w:ascii="Times New Roman" w:hAnsi="Times New Roman"/>
          <w:sz w:val="20"/>
        </w:rPr>
        <w:t>Chen, V., Yang, M., Cui, W., Kim, J. S., Talwalkar, A., &amp; Ma, J. (2024). Applying interpretable machine learning in computational biology-pitfalls, recommendations and opportunities for new developments. Nature Methods, 21(8), 1454-1461.</w:t>
      </w:r>
    </w:p>
    <w:p>
      <w:pPr>
        <w:pStyle w:val="ListParagraph"/>
        <w:spacing w:after="40"/>
        <w:ind w:left="360" w:hanging="360"/>
      </w:pPr>
      <w:r>
        <w:rPr>
          <w:rFonts w:ascii="Times New Roman" w:hAnsi="Times New Roman"/>
          <w:sz w:val="20"/>
        </w:rPr>
        <w:t>Cheng, L., Yan, M., Zhang, W., Guan, W., Zhong, L., &amp; Xu, J. (2024). Interpretable digital soil organic matter mapping based on geographical Gaussian process-generalized additive model (GGP-GAM). Agriculture, 14(9), 1578.</w:t>
      </w:r>
    </w:p>
    <w:p>
      <w:pPr>
        <w:pStyle w:val="ListParagraph"/>
        <w:spacing w:after="40"/>
        <w:ind w:left="360" w:hanging="360"/>
      </w:pPr>
      <w:r>
        <w:rPr>
          <w:rFonts w:ascii="Times New Roman" w:hAnsi="Times New Roman"/>
          <w:sz w:val="20"/>
        </w:rPr>
        <w:t>Dash, P. K., Ferhatoglu, C., Miller, B. A., Panigrahi, N., &amp; Mishra, A. (2025). Influence of sample size and machine learning algorithms on digital soil nutrient mapping accuracy. Environmental Monitoring and Assessment, 197(9), 996.</w:t>
      </w:r>
    </w:p>
    <w:p>
      <w:pPr>
        <w:pStyle w:val="ListParagraph"/>
        <w:spacing w:after="40"/>
        <w:ind w:left="360" w:hanging="360"/>
      </w:pPr>
      <w:r>
        <w:rPr>
          <w:rFonts w:ascii="Times New Roman" w:hAnsi="Times New Roman"/>
          <w:sz w:val="20"/>
        </w:rPr>
        <w:t>Dadrass Javan, F., Samadzadegan, F., Toosi, A., &amp; van der Meijde, M. (2024). Unmanned aerial geophysical remote sensing: a systematic review. Remote Sensing, 17(1), 110.</w:t>
      </w:r>
    </w:p>
    <w:p>
      <w:pPr>
        <w:pStyle w:val="ListParagraph"/>
        <w:spacing w:after="40"/>
        <w:ind w:left="360" w:hanging="360"/>
      </w:pPr>
      <w:r>
        <w:rPr>
          <w:rFonts w:ascii="Times New Roman" w:hAnsi="Times New Roman"/>
          <w:sz w:val="20"/>
        </w:rPr>
        <w:t>Dang, C., Zhang, H., Yao, C., Mu, D., Lyu, F., Zhang, Y., &amp; Zhang, S. (2024). IWRAM: A hybrid model for irrigation water demand forecasting to quantify the impacts of climate change. Agricultural Water Management, 291, 108643.</w:t>
      </w:r>
    </w:p>
    <w:p>
      <w:pPr>
        <w:pStyle w:val="ListParagraph"/>
        <w:spacing w:after="40"/>
        <w:ind w:left="360" w:hanging="360"/>
      </w:pPr>
      <w:r>
        <w:rPr>
          <w:rFonts w:ascii="Times New Roman" w:hAnsi="Times New Roman"/>
          <w:sz w:val="20"/>
        </w:rPr>
        <w:t>De Caires, S. A., Martin, C. S., Atwell, M. A., Kaya, F., Wuddivira, G. A., &amp; Wuddivira, M. N. (2025). Advancing soil mapping and management using geostatistics and integrated machine learning and remote sensing techniques: a synoptic review. Discover Soil, 2(1), 53.</w:t>
      </w:r>
    </w:p>
    <w:p>
      <w:pPr>
        <w:pStyle w:val="ListParagraph"/>
        <w:spacing w:after="40"/>
        <w:ind w:left="360" w:hanging="360"/>
      </w:pPr>
      <w:r>
        <w:rPr>
          <w:rFonts w:ascii="Times New Roman" w:hAnsi="Times New Roman"/>
          <w:sz w:val="20"/>
        </w:rPr>
        <w:t>Debaene, G., Bartminski, P., &amp; Siluch, M. (2023). In Situ VIS-NIR spectroscopy for a basic and rapid soil investigation. Sensors, 23(12), 5495.</w:t>
      </w:r>
    </w:p>
    <w:p>
      <w:pPr>
        <w:pStyle w:val="ListParagraph"/>
        <w:spacing w:after="40"/>
        <w:ind w:left="360" w:hanging="360"/>
      </w:pPr>
      <w:r>
        <w:rPr>
          <w:rFonts w:ascii="Times New Roman" w:hAnsi="Times New Roman"/>
          <w:sz w:val="20"/>
        </w:rPr>
        <w:t>Dematte, J. A., Fongaro, C. T., Rizzo, R., &amp; Safanelli, J. L. (2018). Geospatial soil sensing system (GEOS3): A powerful data mining procedure to retrieve soil spectral reflectance from satellite images. Remote Sensing of Environment, 212, 161-175.</w:t>
      </w:r>
    </w:p>
    <w:p>
      <w:pPr>
        <w:pStyle w:val="ListParagraph"/>
        <w:spacing w:after="40"/>
        <w:ind w:left="360" w:hanging="360"/>
      </w:pPr>
      <w:r>
        <w:rPr>
          <w:rFonts w:ascii="Times New Roman" w:hAnsi="Times New Roman"/>
          <w:sz w:val="20"/>
        </w:rPr>
        <w:t>Dritsas, E., &amp; Trigka, M. (2025). Remote sensing and geospatial analysis in the big data era: A survey. Remote Sensing, 17(3), 550.</w:t>
      </w:r>
    </w:p>
    <w:p>
      <w:pPr>
        <w:pStyle w:val="ListParagraph"/>
        <w:spacing w:after="40"/>
        <w:ind w:left="360" w:hanging="360"/>
      </w:pPr>
      <w:r>
        <w:rPr>
          <w:rFonts w:ascii="Times New Roman" w:hAnsi="Times New Roman"/>
          <w:sz w:val="20"/>
        </w:rPr>
        <w:t>El Bouanani, N., Laamrani, A., Hajji, H., Bourriz, M., Bourzeix, F., Ait Abdelali, H., ... &amp; Chehbouni, A. (2025). Estimating Soil Attributes for Yield Gap Reduction in Africa Using Hyperspectral Remote Sensing Data with Artificial Intelligence Methods: An Extensive Review and Synthesis. Remote Sensing, 17(9), 1597.</w:t>
      </w:r>
    </w:p>
    <w:p>
      <w:pPr>
        <w:pStyle w:val="ListParagraph"/>
        <w:spacing w:after="40"/>
        <w:ind w:left="360" w:hanging="360"/>
      </w:pPr>
      <w:r>
        <w:rPr>
          <w:rFonts w:ascii="Times New Roman" w:hAnsi="Times New Roman"/>
          <w:sz w:val="20"/>
        </w:rPr>
        <w:t>Elango, E., Krishnamurthy, S., Subramaniyan, H. A., &amp; Shanmuganathan, B. (2025). Local Model-Interpretable Agnostic Explanations (LIME). Interpretable and Trustworthy AI: Techniques and Frameworks, 163.</w:t>
      </w:r>
    </w:p>
    <w:p>
      <w:pPr>
        <w:pStyle w:val="ListParagraph"/>
        <w:spacing w:after="40"/>
        <w:ind w:left="360" w:hanging="360"/>
      </w:pPr>
      <w:r>
        <w:rPr>
          <w:rFonts w:ascii="Times New Roman" w:hAnsi="Times New Roman"/>
          <w:sz w:val="20"/>
        </w:rPr>
        <w:t>Ennouri, K., Ennouri, M., &amp; Triki, M. A. (2024). Satellite Imagery Used for Analysis of Soil Properties. Applying Remote Sensing and GIS for Spatial Analysis and Decision-Making, 311.</w:t>
      </w:r>
    </w:p>
    <w:p>
      <w:pPr>
        <w:pStyle w:val="ListParagraph"/>
        <w:spacing w:after="40"/>
        <w:ind w:left="360" w:hanging="360"/>
      </w:pPr>
      <w:r>
        <w:rPr>
          <w:rFonts w:ascii="Times New Roman" w:hAnsi="Times New Roman"/>
          <w:sz w:val="20"/>
        </w:rPr>
        <w:t>Fan, Y., Wang, X., Funk, T., Rashid, I., Herman, B., Bompoti, N., ... &amp; Li, B. (2022). A critical review for real-time continuous soil monitoring: Advantages, challenges, and perspectives. Environmental Science &amp; Technology, 56(19), 13546-13564.</w:t>
      </w:r>
    </w:p>
    <w:p>
      <w:pPr>
        <w:pStyle w:val="ListParagraph"/>
        <w:spacing w:after="40"/>
        <w:ind w:left="360" w:hanging="360"/>
      </w:pPr>
      <w:r>
        <w:rPr>
          <w:rFonts w:ascii="Times New Roman" w:hAnsi="Times New Roman"/>
          <w:sz w:val="20"/>
        </w:rPr>
        <w:t>Fang, K., Shen, C., Kifer, D., &amp; Yang, X. (2019). Prolongation of SMAP to spatiotemporally seamless coverage of continental U.S. using a deep learning neural network. Geophysical Research Letters, 44(21), 11030-11039.</w:t>
      </w:r>
    </w:p>
    <w:p>
      <w:pPr>
        <w:pStyle w:val="ListParagraph"/>
        <w:spacing w:after="40"/>
        <w:ind w:left="360" w:hanging="360"/>
      </w:pPr>
      <w:r>
        <w:rPr>
          <w:rFonts w:ascii="Times New Roman" w:hAnsi="Times New Roman"/>
          <w:sz w:val="20"/>
        </w:rPr>
        <w:t>Farhangmehr, V., Imanian, H., Mohammadian, A., Cobo, J. H., Shirkhani, H., &amp; Payeur, P. (2025). A spatiotemporal CNN-LSTM deep learning model for predicting soil temperature in diverse large-scale regional climates. Science of The Total Environment, 968, 178901.</w:t>
      </w:r>
    </w:p>
    <w:p>
      <w:pPr>
        <w:pStyle w:val="ListParagraph"/>
        <w:spacing w:after="40"/>
        <w:ind w:left="360" w:hanging="360"/>
      </w:pPr>
      <w:r>
        <w:rPr>
          <w:rFonts w:ascii="Times New Roman" w:hAnsi="Times New Roman"/>
          <w:sz w:val="20"/>
        </w:rPr>
        <w:t>Farooqi, Z. U. R., Sohail, M., Alserae, H., Qadir, A. A., Hussain, T., Ilic, P., ... &amp; Zafar, Z. (2024). Management of soil degradation: A comprehensive approach for combating soil degradation, food insecurity, and climate change. Ecosystem Management: Climate Change and Sustainability, 55-78.</w:t>
      </w:r>
    </w:p>
    <w:p>
      <w:pPr>
        <w:pStyle w:val="ListParagraph"/>
        <w:spacing w:after="40"/>
        <w:ind w:left="360" w:hanging="360"/>
      </w:pPr>
      <w:r>
        <w:rPr>
          <w:rFonts w:ascii="Times New Roman" w:hAnsi="Times New Roman"/>
          <w:sz w:val="20"/>
        </w:rPr>
        <w:t>Gholizade, M., Soltanizadeh, H., Rahmanimanesh, M., &amp; Sana, S. S. (2025). A review of recent advances and strategies in transfer learning. International Journal of System Assurance Engineering and Management, 1-40.</w:t>
      </w:r>
    </w:p>
    <w:p>
      <w:pPr>
        <w:pStyle w:val="ListParagraph"/>
        <w:spacing w:after="40"/>
        <w:ind w:left="360" w:hanging="360"/>
      </w:pPr>
      <w:r>
        <w:rPr>
          <w:rFonts w:ascii="Times New Roman" w:hAnsi="Times New Roman"/>
          <w:sz w:val="20"/>
        </w:rPr>
        <w:t>Gozukara, G., Hartemink, A. E., Huang, J., &amp; Dematte, J. A. M. (2025). Prediction accuracy of pXRF, MIR, and Vis-NIR spectra for soil properties-A review. Soil Science Society of America Journal, 89(2), e70028.</w:t>
      </w:r>
    </w:p>
    <w:p>
      <w:pPr>
        <w:pStyle w:val="ListParagraph"/>
        <w:spacing w:after="40"/>
        <w:ind w:left="360" w:hanging="360"/>
      </w:pPr>
      <w:r>
        <w:rPr>
          <w:rFonts w:ascii="Times New Roman" w:hAnsi="Times New Roman"/>
          <w:sz w:val="20"/>
        </w:rPr>
        <w:t>Gueye, P. E. H. A., Deme, C. B., &amp; Basse, A. (2025). RTCNet: A robust hybrid deep learning model for soil property prediction under noisy conditions. Inf. Dyn. Appl, 4(1), 36-52.</w:t>
      </w:r>
    </w:p>
    <w:p>
      <w:pPr>
        <w:pStyle w:val="ListParagraph"/>
        <w:spacing w:after="40"/>
        <w:ind w:left="360" w:hanging="360"/>
      </w:pPr>
      <w:r>
        <w:rPr>
          <w:rFonts w:ascii="Times New Roman" w:hAnsi="Times New Roman"/>
          <w:sz w:val="20"/>
        </w:rPr>
        <w:t>Guha, N., Lawrence, C. M., Gailmard, L. A., Rodolfa, K. T., Surani, F., Bommasani, R., ... &amp; Ho, D. E. (2024). AI regulation has its own alignment problem: The technical and institutional feasibility of disclosure, registration, licensing, and auditing. Geo. Wash. L. Rev., 92, 1473.</w:t>
      </w:r>
    </w:p>
    <w:p>
      <w:pPr>
        <w:pStyle w:val="ListParagraph"/>
        <w:spacing w:after="40"/>
        <w:ind w:left="360" w:hanging="360"/>
      </w:pPr>
      <w:r>
        <w:rPr>
          <w:rFonts w:ascii="Times New Roman" w:hAnsi="Times New Roman"/>
          <w:sz w:val="20"/>
        </w:rPr>
        <w:t>Gujar, P. (2025). Data standardization and interoperability. In Data usability in the enterprise: how usability leads to optimal digital experiences (pp. 89-110). Berkeley, CA: Apress.</w:t>
      </w:r>
    </w:p>
    <w:p>
      <w:pPr>
        <w:pStyle w:val="ListParagraph"/>
        <w:spacing w:after="40"/>
        <w:ind w:left="360" w:hanging="360"/>
      </w:pPr>
      <w:r>
        <w:rPr>
          <w:rFonts w:ascii="Times New Roman" w:hAnsi="Times New Roman"/>
          <w:sz w:val="20"/>
        </w:rPr>
        <w:t>Hassija, V., Chamola, V., Mahapatra, A., Singal, A., Goel, D., Huang, K., ... &amp; Hussain, A. (2024). Interpreting black-box models: a review on explainable artificial intelligence. Cognitive Computation, 16(1), 45-74.</w:t>
      </w:r>
    </w:p>
    <w:p>
      <w:pPr>
        <w:pStyle w:val="ListParagraph"/>
        <w:spacing w:after="40"/>
        <w:ind w:left="360" w:hanging="360"/>
      </w:pPr>
      <w:r>
        <w:rPr>
          <w:rFonts w:ascii="Times New Roman" w:hAnsi="Times New Roman"/>
          <w:sz w:val="20"/>
        </w:rPr>
        <w:t>Hengl, T., de Jesus, J. M., Heuvelink, G. B., Gonzalez, M. R., Kilibarda, M., Blagotic, A., ... &amp; Kempen, B. (2017). SoilGrids250m: Global gridded soil information based on machine learning. PLoS ONE, 12(2), e0169748.</w:t>
      </w:r>
    </w:p>
    <w:p>
      <w:pPr>
        <w:pStyle w:val="ListParagraph"/>
        <w:spacing w:after="40"/>
        <w:ind w:left="360" w:hanging="360"/>
      </w:pPr>
      <w:r>
        <w:rPr>
          <w:rFonts w:ascii="Times New Roman" w:hAnsi="Times New Roman"/>
          <w:sz w:val="20"/>
        </w:rPr>
        <w:t>Hengl, T., Nussbaum, M., Wright, M. N., Heuvelink, G. B., &amp; Graler, B. (2018). Random forest as a generic framework for predictive modeling of spatial and spatio-temporal variables. PeerJ, 6, e5518.</w:t>
      </w:r>
    </w:p>
    <w:p>
      <w:pPr>
        <w:pStyle w:val="ListParagraph"/>
        <w:spacing w:after="40"/>
        <w:ind w:left="360" w:hanging="360"/>
      </w:pPr>
      <w:r>
        <w:rPr>
          <w:rFonts w:ascii="Times New Roman" w:hAnsi="Times New Roman"/>
          <w:sz w:val="20"/>
        </w:rPr>
        <w:t>Howari, F. (2025). AI-Remote Sensing for Soil Variability Mapping and Precision Agrochemical Management: A Comprehensive Review of Methods, Limitations, and Climate-Smart Applications. Agrochemicals, 5(1), 1.</w:t>
      </w:r>
    </w:p>
    <w:p>
      <w:pPr>
        <w:pStyle w:val="ListParagraph"/>
        <w:spacing w:after="40"/>
        <w:ind w:left="360" w:hanging="360"/>
      </w:pPr>
      <w:r>
        <w:rPr>
          <w:rFonts w:ascii="Times New Roman" w:hAnsi="Times New Roman"/>
          <w:sz w:val="20"/>
        </w:rPr>
        <w:t>Hutengs, C., &amp; Vohland, M. (2016). Downscaling land surface temperatures at regional scales with random forest regression. Remote Sensing of Environment, 178, 127-141.</w:t>
      </w:r>
    </w:p>
    <w:p>
      <w:pPr>
        <w:pStyle w:val="ListParagraph"/>
        <w:spacing w:after="40"/>
        <w:ind w:left="360" w:hanging="360"/>
      </w:pPr>
      <w:r>
        <w:rPr>
          <w:rFonts w:ascii="Times New Roman" w:hAnsi="Times New Roman"/>
          <w:sz w:val="20"/>
        </w:rPr>
        <w:t>Jenkins, E., Galbraith, J., &amp; Paltseva, A. (2024). Portable X-Ray Fluorescence as a Tool for Urban Soil Contamination Analysis: Accuracy, Precision, and Practicality. EGUsphere, 2024, 1-26.</w:t>
      </w:r>
    </w:p>
    <w:p>
      <w:pPr>
        <w:pStyle w:val="ListParagraph"/>
        <w:spacing w:after="40"/>
        <w:ind w:left="360" w:hanging="360"/>
      </w:pPr>
      <w:r>
        <w:rPr>
          <w:rFonts w:ascii="Times New Roman" w:hAnsi="Times New Roman"/>
          <w:sz w:val="20"/>
        </w:rPr>
        <w:t>Kalasampath, K., Spoorthi, K. N., Sajeev, S., Kuppa, S. S., Ajay, K., &amp; Angulakshmi, M. (2025). A Literature review on applications of explainable artificial intelligence (XAI). IEEE Access.</w:t>
      </w:r>
    </w:p>
    <w:p>
      <w:pPr>
        <w:pStyle w:val="ListParagraph"/>
        <w:spacing w:after="40"/>
        <w:ind w:left="360" w:hanging="360"/>
      </w:pPr>
      <w:r>
        <w:rPr>
          <w:rFonts w:ascii="Times New Roman" w:hAnsi="Times New Roman"/>
          <w:sz w:val="20"/>
        </w:rPr>
        <w:t>Kamilaris, A., Kartakoullis, A., &amp; Prenafeta-Boldu, F. X. (2017). A review on the practice of big data analysis in agriculture. Computers and Electronics in Agriculture, 143, 23-37.</w:t>
      </w:r>
    </w:p>
    <w:p>
      <w:pPr>
        <w:pStyle w:val="ListParagraph"/>
        <w:spacing w:after="40"/>
        <w:ind w:left="360" w:hanging="360"/>
      </w:pPr>
      <w:r>
        <w:rPr>
          <w:rFonts w:ascii="Times New Roman" w:hAnsi="Times New Roman"/>
          <w:sz w:val="20"/>
        </w:rPr>
        <w:t>Kasahun, M., &amp; Legesse, A. (2024). Machine learning for urban land use/cover mapping: Comparison of artificial neural network, random forest and support vector machine, a case study of Dilla town. Heliyon, 10(20).</w:t>
      </w:r>
    </w:p>
    <w:p>
      <w:pPr>
        <w:pStyle w:val="ListParagraph"/>
        <w:spacing w:after="40"/>
        <w:ind w:left="360" w:hanging="360"/>
      </w:pPr>
      <w:r>
        <w:rPr>
          <w:rFonts w:ascii="Times New Roman" w:hAnsi="Times New Roman"/>
          <w:sz w:val="20"/>
        </w:rPr>
        <w:t>Kazanskiy, N., Khabibullin, R., Nikonorov, A., &amp; Khonina, S. (2025). A comprehensive review of remote sensing and artificial intelligence integration: advances, applications, and challenges. Sensors, 25(19), 5965.</w:t>
      </w:r>
    </w:p>
    <w:p>
      <w:pPr>
        <w:pStyle w:val="ListParagraph"/>
        <w:spacing w:after="40"/>
        <w:ind w:left="360" w:hanging="360"/>
      </w:pPr>
      <w:r>
        <w:rPr>
          <w:rFonts w:ascii="Times New Roman" w:hAnsi="Times New Roman"/>
          <w:sz w:val="20"/>
        </w:rPr>
        <w:t>Knadel, M., Castaldi, F., Barbetti, R., Ben-Dor, E., Gholizadeh, A., &amp; Lorenzetti, R. (2023). Mathematical techniques to remove moisture effects from visible-near-infrared-shortwave-infrared soil spectra. Applied Spectroscopy Reviews, 58(9), 629-662.</w:t>
      </w:r>
    </w:p>
    <w:p>
      <w:pPr>
        <w:pStyle w:val="ListParagraph"/>
        <w:spacing w:after="40"/>
        <w:ind w:left="360" w:hanging="360"/>
      </w:pPr>
      <w:r>
        <w:rPr>
          <w:rFonts w:ascii="Times New Roman" w:hAnsi="Times New Roman"/>
          <w:sz w:val="20"/>
        </w:rPr>
        <w:t>Kubiak, K., Spiralski, M., Pompeu, J., Levavasseur, V., &amp; Wawer, R. (2024). Advances in remote sensing for monitoring soil conditions in forest ecosystems: Techniques, challenges, and applications. Transactions on Aerospace Research, 277(4), 1-13.</w:t>
      </w:r>
    </w:p>
    <w:p>
      <w:pPr>
        <w:pStyle w:val="ListParagraph"/>
        <w:spacing w:after="40"/>
        <w:ind w:left="360" w:hanging="360"/>
      </w:pPr>
      <w:r>
        <w:rPr>
          <w:rFonts w:ascii="Times New Roman" w:hAnsi="Times New Roman"/>
          <w:sz w:val="20"/>
        </w:rPr>
        <w:t>Kumar, S. N., Zafar, S., Naaz, S., Beg, M. S., &amp; Babulak, E. (Eds.). (2025). Smart Agriculture for Sustainable Practices: The Role of AI, IoT, and Machine Learning. CRC Press.</w:t>
      </w:r>
    </w:p>
    <w:p>
      <w:pPr>
        <w:pStyle w:val="ListParagraph"/>
        <w:spacing w:after="40"/>
        <w:ind w:left="360" w:hanging="360"/>
      </w:pPr>
      <w:r>
        <w:rPr>
          <w:rFonts w:ascii="Times New Roman" w:hAnsi="Times New Roman"/>
          <w:sz w:val="20"/>
        </w:rPr>
        <w:t>Lal, R. (2020). Soil organic matter content and crop yield. Journal of Soil and Water Conservation, 75(2), 27A-32A.</w:t>
      </w:r>
    </w:p>
    <w:p>
      <w:pPr>
        <w:pStyle w:val="ListParagraph"/>
        <w:spacing w:after="40"/>
        <w:ind w:left="360" w:hanging="360"/>
      </w:pPr>
      <w:r>
        <w:rPr>
          <w:rFonts w:ascii="Times New Roman" w:hAnsi="Times New Roman"/>
          <w:sz w:val="20"/>
        </w:rPr>
        <w:t>Lamichhane, M., Mehan, S., &amp; Mankin, K. R. (2025). Soil moisture prediction using remote sensing and machine learning algorithms: A review on progress, challenges, and opportunities. Remote Sensing, 17(14), 2397.</w:t>
      </w:r>
    </w:p>
    <w:p>
      <w:pPr>
        <w:pStyle w:val="ListParagraph"/>
        <w:spacing w:after="40"/>
        <w:ind w:left="360" w:hanging="360"/>
      </w:pPr>
      <w:r>
        <w:rPr>
          <w:rFonts w:ascii="Times New Roman" w:hAnsi="Times New Roman"/>
          <w:sz w:val="20"/>
        </w:rPr>
        <w:t>Li, S., Shen, X., Shen, X., Cheng, J., Xu, D., Makar, R. S., ... &amp; Shi, Z. (2025). Improving the Accuracy of Soil Classification by Using Vis-NIR, MIR, and Their Spectra Fusion. Remote Sensing, 17(9), 1524.</w:t>
      </w:r>
    </w:p>
    <w:p>
      <w:pPr>
        <w:pStyle w:val="ListParagraph"/>
        <w:spacing w:after="40"/>
        <w:ind w:left="360" w:hanging="360"/>
      </w:pPr>
      <w:r>
        <w:rPr>
          <w:rFonts w:ascii="Times New Roman" w:hAnsi="Times New Roman"/>
          <w:sz w:val="20"/>
        </w:rPr>
        <w:t>Li, X., Xiong, H., Li, X., Wu, X., Zhang, X., Liu, J., ... &amp; Dou, D. (2022). Interpretable deep learning: Interpretation, interpretability, trustworthiness, and beyond. Knowledge and Information Systems, 64(12), 3197-3234.</w:t>
      </w:r>
    </w:p>
    <w:p>
      <w:pPr>
        <w:pStyle w:val="ListParagraph"/>
        <w:spacing w:after="40"/>
        <w:ind w:left="360" w:hanging="360"/>
      </w:pPr>
      <w:r>
        <w:rPr>
          <w:rFonts w:ascii="Times New Roman" w:hAnsi="Times New Roman"/>
          <w:sz w:val="20"/>
        </w:rPr>
        <w:t>Liakos, K. G., Busato, P., Moshou, D., Pearson, S., &amp; Bochtis, D. (2018). Machine learning in agriculture: A review. Sensors, 18(8), 2674.</w:t>
      </w:r>
    </w:p>
    <w:p>
      <w:pPr>
        <w:pStyle w:val="ListParagraph"/>
        <w:spacing w:after="40"/>
        <w:ind w:left="360" w:hanging="360"/>
      </w:pPr>
      <w:r>
        <w:rPr>
          <w:rFonts w:ascii="Times New Roman" w:hAnsi="Times New Roman"/>
          <w:sz w:val="20"/>
        </w:rPr>
        <w:t>Liang, X., Yu, S., Meng, B., Wang, X., Yang, C., Shi, C., &amp; Ding, J. (2025). Multi-Source Remote Sensing and GIS for Forest Carbon Monitoring Toward Carbon Neutrality. Forests, 16(6), 971.</w:t>
      </w:r>
    </w:p>
    <w:p>
      <w:pPr>
        <w:pStyle w:val="ListParagraph"/>
        <w:spacing w:after="40"/>
        <w:ind w:left="360" w:hanging="360"/>
      </w:pPr>
      <w:r>
        <w:rPr>
          <w:rFonts w:ascii="Times New Roman" w:hAnsi="Times New Roman"/>
          <w:sz w:val="20"/>
        </w:rPr>
        <w:t>Lionel, B. M., Musabe, R., Gatera, O., &amp; Twizere, C. (2025). A comparative study of machine learning models in predicting crop yield. Discover Agriculture, 3(1), 1-30.</w:t>
      </w:r>
    </w:p>
    <w:p>
      <w:pPr>
        <w:pStyle w:val="ListParagraph"/>
        <w:spacing w:after="40"/>
        <w:ind w:left="360" w:hanging="360"/>
      </w:pPr>
      <w:r>
        <w:rPr>
          <w:rFonts w:ascii="Times New Roman" w:hAnsi="Times New Roman"/>
          <w:sz w:val="20"/>
        </w:rPr>
        <w:t>Liu, J. J., Wu, H., &amp; Riaz, I. (2025). Advanced technologies for smart fertilizer management in agriculture: A Review. IEEE Access.</w:t>
      </w:r>
    </w:p>
    <w:p>
      <w:pPr>
        <w:pStyle w:val="ListParagraph"/>
        <w:spacing w:after="40"/>
        <w:ind w:left="360" w:hanging="360"/>
      </w:pPr>
      <w:r>
        <w:rPr>
          <w:rFonts w:ascii="Times New Roman" w:hAnsi="Times New Roman"/>
          <w:sz w:val="20"/>
        </w:rPr>
        <w:t>Liu, Y., Shen, L., Zhu, X., Xie, Y., &amp; He, S. (2024). Spectral data-driven prediction of soil properties using LSTM-CNN-attention model. Applied Sciences, 14(24), 11687.</w:t>
      </w:r>
    </w:p>
    <w:p>
      <w:pPr>
        <w:pStyle w:val="ListParagraph"/>
        <w:spacing w:after="40"/>
        <w:ind w:left="360" w:hanging="360"/>
      </w:pPr>
      <w:r>
        <w:rPr>
          <w:rFonts w:ascii="Times New Roman" w:hAnsi="Times New Roman"/>
          <w:sz w:val="20"/>
        </w:rPr>
        <w:t>Loconsole, D., Elia, M., Conversa, G., De Lucia, B., Cristiano, G., &amp; Elia, A. (2025). Soil Moisture Sensing Technologies: Principles, Applications, and Challenges in Agriculture. Agronomy, 15(12), 2788.</w:t>
      </w:r>
    </w:p>
    <w:p>
      <w:pPr>
        <w:pStyle w:val="ListParagraph"/>
        <w:spacing w:after="40"/>
        <w:ind w:left="360" w:hanging="360"/>
      </w:pPr>
      <w:r>
        <w:rPr>
          <w:rFonts w:ascii="Times New Roman" w:hAnsi="Times New Roman"/>
          <w:sz w:val="20"/>
        </w:rPr>
        <w:t>Lu, K., Yan, W., &amp; Tan, H. (2024). Applications and recent advances in artificial intelligence for soil data analysis. Advances in Resources Research, 4(4), 668-680.</w:t>
      </w:r>
    </w:p>
    <w:p>
      <w:pPr>
        <w:pStyle w:val="ListParagraph"/>
        <w:spacing w:after="40"/>
        <w:ind w:left="360" w:hanging="360"/>
      </w:pPr>
      <w:r>
        <w:rPr>
          <w:rFonts w:ascii="Times New Roman" w:hAnsi="Times New Roman"/>
          <w:sz w:val="20"/>
        </w:rPr>
        <w:t>Lu, Y., Liu, M., Li, C., Liu, X., Cao, C., Li, X., &amp; Kan, Z. (2022). Precision fertilization and irrigation: Progress and applications. Agri Engineering, 4(3), 626-655.</w:t>
      </w:r>
    </w:p>
    <w:p>
      <w:pPr>
        <w:pStyle w:val="ListParagraph"/>
        <w:spacing w:after="40"/>
        <w:ind w:left="360" w:hanging="360"/>
      </w:pPr>
      <w:r>
        <w:rPr>
          <w:rFonts w:ascii="Times New Roman" w:hAnsi="Times New Roman"/>
          <w:sz w:val="20"/>
        </w:rPr>
        <w:t>Lundberg, S. M., &amp; Lee, S. I. (2017). A unified approach to interpreting model predictions. Advances in Neural Information Processing Systems, 30, 4765-4774.</w:t>
      </w:r>
    </w:p>
    <w:p>
      <w:pPr>
        <w:pStyle w:val="ListParagraph"/>
        <w:spacing w:after="40"/>
        <w:ind w:left="360" w:hanging="360"/>
      </w:pPr>
      <w:r>
        <w:rPr>
          <w:rFonts w:ascii="Times New Roman" w:hAnsi="Times New Roman"/>
          <w:sz w:val="20"/>
        </w:rPr>
        <w:t>Mansoor, S., Iqbal, S., Popescu, S. M., Kim, S. L., Chung, Y. S., &amp; Baek, J. H. (2025). Integration of smart sensors and IOT in precision agriculture: trends, challenges and future prospectives. Frontiers in Plant Science, 16, 1587869.</w:t>
      </w:r>
    </w:p>
    <w:p>
      <w:pPr>
        <w:pStyle w:val="ListParagraph"/>
        <w:spacing w:after="40"/>
        <w:ind w:left="360" w:hanging="360"/>
      </w:pPr>
      <w:r>
        <w:rPr>
          <w:rFonts w:ascii="Times New Roman" w:hAnsi="Times New Roman"/>
          <w:sz w:val="20"/>
        </w:rPr>
        <w:t>Martini, M. L., Neifert, S. N., Oermann, E. K., Gilligan, J. T., Rothrock, R. J., Yuk, F. J., ... &amp; Caridi, J. M. (2021). Application of cooperative game theory principles to interpret machine learning models of nonhome discharge following spine surgery. Spine, 46(12), 803-812.</w:t>
      </w:r>
    </w:p>
    <w:p>
      <w:pPr>
        <w:pStyle w:val="ListParagraph"/>
        <w:spacing w:after="40"/>
        <w:ind w:left="360" w:hanging="360"/>
      </w:pPr>
      <w:r>
        <w:rPr>
          <w:rFonts w:ascii="Times New Roman" w:hAnsi="Times New Roman"/>
          <w:sz w:val="20"/>
        </w:rPr>
        <w:t>Maruthaiah, T., Vajravelu, S. K., Kaliyaperumal, V., &amp; Kalaivanan, D. (2023). Soil texture identification using LIBS data combined with machine learning algorithm. Optik, 278, 170691.</w:t>
      </w:r>
    </w:p>
    <w:p>
      <w:pPr>
        <w:pStyle w:val="ListParagraph"/>
        <w:spacing w:after="40"/>
        <w:ind w:left="360" w:hanging="360"/>
      </w:pPr>
      <w:r>
        <w:rPr>
          <w:rFonts w:ascii="Times New Roman" w:hAnsi="Times New Roman"/>
          <w:sz w:val="20"/>
        </w:rPr>
        <w:t>Minasny, B., &amp; McBratney, A. B. (2025). Machine Learning and Artificial Intelligence Applications in Soil Science. European Journal of Soil Science, 76(2), e70093.</w:t>
      </w:r>
    </w:p>
    <w:p>
      <w:pPr>
        <w:pStyle w:val="ListParagraph"/>
        <w:spacing w:after="40"/>
        <w:ind w:left="360" w:hanging="360"/>
      </w:pPr>
      <w:r>
        <w:rPr>
          <w:rFonts w:ascii="Times New Roman" w:hAnsi="Times New Roman"/>
          <w:sz w:val="20"/>
        </w:rPr>
        <w:t>Minasny, B., Malone, B. P., McBratney, A. B., Angers, D. A., Arrouays, D., Chambers, A., ... &amp; Winowiecki, L. (2017). Soil carbon 4 per mille. Geoderma, 292, 59-86.</w:t>
      </w:r>
    </w:p>
    <w:p>
      <w:pPr>
        <w:pStyle w:val="ListParagraph"/>
        <w:spacing w:after="40"/>
        <w:ind w:left="360" w:hanging="360"/>
      </w:pPr>
      <w:r>
        <w:rPr>
          <w:rFonts w:ascii="Times New Roman" w:hAnsi="Times New Roman"/>
          <w:sz w:val="20"/>
        </w:rPr>
        <w:t>Mishra, H., &amp; Mishra, D. (2024). Economic evaluation of UAV-based soil sampling approaches. In Applications of Computer Vision and Drone Technology in Agriculture 4.0 (pp. 271-291). Singapore: Springer Nature Singapore.</w:t>
      </w:r>
    </w:p>
    <w:p>
      <w:pPr>
        <w:pStyle w:val="ListParagraph"/>
        <w:spacing w:after="40"/>
        <w:ind w:left="360" w:hanging="360"/>
      </w:pPr>
      <w:r>
        <w:rPr>
          <w:rFonts w:ascii="Times New Roman" w:hAnsi="Times New Roman"/>
          <w:sz w:val="20"/>
        </w:rPr>
        <w:t>Moher, D., Liberati, A., Tetzlaff, J., Altman, D. G., &amp; PRISMA Group. (2009). Preferred reporting items for systematic reviews and meta-analyses: the PRISMA statement. PLoS Medicine, 6(7), e1000097.</w:t>
      </w:r>
    </w:p>
    <w:p>
      <w:pPr>
        <w:pStyle w:val="ListParagraph"/>
        <w:spacing w:after="40"/>
        <w:ind w:left="360" w:hanging="360"/>
      </w:pPr>
      <w:r>
        <w:rPr>
          <w:rFonts w:ascii="Times New Roman" w:hAnsi="Times New Roman"/>
          <w:sz w:val="20"/>
        </w:rPr>
        <w:t>Mohanty, A., Mohanty, S. K., &amp; Mohapatra, A. G. (2024). Real-time monitoring and fault detection in AI-enhanced wastewater treatment systems. In The AI Cleanse: Transforming Wastewater Treatment Through Artificial Intelligence (pp. 165-199). Cham: Springer Nature Switzerland.</w:t>
      </w:r>
    </w:p>
    <w:p>
      <w:pPr>
        <w:pStyle w:val="ListParagraph"/>
        <w:spacing w:after="40"/>
        <w:ind w:left="360" w:hanging="360"/>
      </w:pPr>
      <w:r>
        <w:rPr>
          <w:rFonts w:ascii="Times New Roman" w:hAnsi="Times New Roman"/>
          <w:sz w:val="20"/>
        </w:rPr>
        <w:t>Mokere, R., Ghassan, M., &amp; Barra, I. (2025). Soil spectroscopy evolution: A review of homemade sensors, benchtop systems, and mobile instruments coupled with machine learning algorithms in soil diagnosis for precision agriculture. Critical Reviews in Analytical Chemistry, 55(7), 1304-1323.</w:t>
      </w:r>
    </w:p>
    <w:p>
      <w:pPr>
        <w:pStyle w:val="ListParagraph"/>
        <w:spacing w:after="40"/>
        <w:ind w:left="360" w:hanging="360"/>
      </w:pPr>
      <w:r>
        <w:rPr>
          <w:rFonts w:ascii="Times New Roman" w:hAnsi="Times New Roman"/>
          <w:sz w:val="20"/>
        </w:rPr>
        <w:t>Molnar, C. (2020). Interpretable machine learning: A guide for making black box models explainable. Leanpub.</w:t>
      </w:r>
    </w:p>
    <w:p>
      <w:pPr>
        <w:pStyle w:val="ListParagraph"/>
        <w:spacing w:after="40"/>
        <w:ind w:left="360" w:hanging="360"/>
      </w:pPr>
      <w:r>
        <w:rPr>
          <w:rFonts w:ascii="Times New Roman" w:hAnsi="Times New Roman"/>
          <w:sz w:val="20"/>
        </w:rPr>
        <w:t>Mowla, M. N., Mowla, N., Shah, A. S., Rabie, K. M., &amp; Shongwe, T. (2023). Internet of Things and wireless sensor networks for smart agriculture applications: A survey. IEEE Access, 11, 145813-145852.</w:t>
      </w:r>
    </w:p>
    <w:p>
      <w:pPr>
        <w:pStyle w:val="ListParagraph"/>
        <w:spacing w:after="40"/>
        <w:ind w:left="360" w:hanging="360"/>
      </w:pPr>
      <w:r>
        <w:rPr>
          <w:rFonts w:ascii="Times New Roman" w:hAnsi="Times New Roman"/>
          <w:sz w:val="20"/>
        </w:rPr>
        <w:t>Nadporozhskaya, M., Kovsh, N., Paolesse, R., &amp; Lvova, L. (2022). Recent advances in chemical sensors for soil analysis: a review. Chemosensors, 10(1), 35.</w:t>
      </w:r>
    </w:p>
    <w:p>
      <w:pPr>
        <w:pStyle w:val="ListParagraph"/>
        <w:spacing w:after="40"/>
        <w:ind w:left="360" w:hanging="360"/>
      </w:pPr>
      <w:r>
        <w:rPr>
          <w:rFonts w:ascii="Times New Roman" w:hAnsi="Times New Roman"/>
          <w:sz w:val="20"/>
        </w:rPr>
        <w:t>Nagel, P., Khalsa, S., Zamudio, W., Mizuta, K., &amp; Stalker, K. (2025). Standard To Validate Innovations in Agricultural Testing. The International Archives of the Photogrammetry, Remote Sensing and Spatial Information Sciences, 48, 189-193.</w:t>
      </w:r>
    </w:p>
    <w:p>
      <w:pPr>
        <w:pStyle w:val="ListParagraph"/>
        <w:spacing w:after="40"/>
        <w:ind w:left="360" w:hanging="360"/>
      </w:pPr>
      <w:r>
        <w:rPr>
          <w:rFonts w:ascii="Times New Roman" w:hAnsi="Times New Roman"/>
          <w:sz w:val="20"/>
        </w:rPr>
        <w:t>Najda-Janoszka, M., Kajzer-Bonk, J., Milewska, E., &amp; Wrona, S. (2025). Integrating science, technology, and experimental knowledge for sustainable innovation: A Living Lab approach to urban biodiversity management. Journal of Entrepreneurship, Management and Innovation, 21(2), 33-55.</w:t>
      </w:r>
    </w:p>
    <w:p>
      <w:pPr>
        <w:pStyle w:val="ListParagraph"/>
        <w:spacing w:after="40"/>
        <w:ind w:left="360" w:hanging="360"/>
      </w:pPr>
      <w:r>
        <w:rPr>
          <w:rFonts w:ascii="Times New Roman" w:hAnsi="Times New Roman"/>
          <w:sz w:val="20"/>
        </w:rPr>
        <w:t>Nasi, R., Honkavaara, E., Lyytikainen-Saarenmaa, P., Blomqvist, M., Litkey, P., Hakala, T., ... &amp; Holopainen, M. (2018). Using UAV-based photogrammetry and hyperspectral imaging for mapping bark beetle damage at tree-level. Remote Sensing, 7(11), 15467-15493.</w:t>
      </w:r>
    </w:p>
    <w:p>
      <w:pPr>
        <w:pStyle w:val="ListParagraph"/>
        <w:spacing w:after="40"/>
        <w:ind w:left="360" w:hanging="360"/>
      </w:pPr>
      <w:r>
        <w:rPr>
          <w:rFonts w:ascii="Times New Roman" w:hAnsi="Times New Roman"/>
          <w:sz w:val="20"/>
        </w:rPr>
        <w:t>Nocita, M., Stevens, A., van Wesemael, B., Aitkenhead, M., Bachmann, M., Barthes, B., ... &amp; Wetterlind, J. (2015). Soil spectroscopy: An alternative to wet chemistry for soil monitoring. Advances in Agronomy, 132, 139-159.</w:t>
      </w:r>
    </w:p>
    <w:p>
      <w:pPr>
        <w:pStyle w:val="ListParagraph"/>
        <w:spacing w:after="40"/>
        <w:ind w:left="360" w:hanging="360"/>
      </w:pPr>
      <w:r>
        <w:rPr>
          <w:rFonts w:ascii="Times New Roman" w:hAnsi="Times New Roman"/>
          <w:sz w:val="20"/>
        </w:rPr>
        <w:t>Novielli, P., Magarelli, M., Romano, D., Di Bitonto, P., Stellacci, A. M., Monaco, A., ... &amp; Tangaro, S. (2025). Leveraging explainable AI to predict soil respiration sensitivity and its drivers for climate change mitigation. Scientific Reports, 15(1), 12527.</w:t>
      </w:r>
    </w:p>
    <w:p>
      <w:pPr>
        <w:pStyle w:val="ListParagraph"/>
        <w:spacing w:after="40"/>
        <w:ind w:left="360" w:hanging="360"/>
      </w:pPr>
      <w:r>
        <w:rPr>
          <w:rFonts w:ascii="Times New Roman" w:hAnsi="Times New Roman"/>
          <w:sz w:val="20"/>
        </w:rPr>
        <w:t>Ojha, T., Misra, S., &amp; Raghuwanshi, N. S. (2015). Wireless sensor networks for agriculture: The state-of-the-art in practice and future challenges. Computers and Electronics in Agriculture, 118, 66-84.</w:t>
      </w:r>
    </w:p>
    <w:p>
      <w:pPr>
        <w:pStyle w:val="ListParagraph"/>
        <w:spacing w:after="40"/>
        <w:ind w:left="360" w:hanging="360"/>
      </w:pPr>
      <w:r>
        <w:rPr>
          <w:rFonts w:ascii="Times New Roman" w:hAnsi="Times New Roman"/>
          <w:sz w:val="20"/>
        </w:rPr>
        <w:t>Padarian, J., Minasny, B., &amp; McBratney, A. B. (2019). Using deep learning for digital soil mapping. SOIL, 5(1), 79-89.</w:t>
      </w:r>
    </w:p>
    <w:p>
      <w:pPr>
        <w:pStyle w:val="ListParagraph"/>
        <w:spacing w:after="40"/>
        <w:ind w:left="360" w:hanging="360"/>
      </w:pPr>
      <w:r>
        <w:rPr>
          <w:rFonts w:ascii="Times New Roman" w:hAnsi="Times New Roman"/>
          <w:sz w:val="20"/>
        </w:rPr>
        <w:t>Padarian, J., Minasny, B., &amp; McBratney, A. B. (2020). Machine learning and soil sciences: A review aided by machine learning tools. SOIL, 6(1), 35-52.</w:t>
      </w:r>
    </w:p>
    <w:p>
      <w:pPr>
        <w:pStyle w:val="ListParagraph"/>
        <w:spacing w:after="40"/>
        <w:ind w:left="360" w:hanging="360"/>
      </w:pPr>
      <w:r>
        <w:rPr>
          <w:rFonts w:ascii="Times New Roman" w:hAnsi="Times New Roman"/>
          <w:sz w:val="20"/>
        </w:rPr>
        <w:t>Pal, K., &amp; Gupta, N. (2025). Machine learning and deep learning approaches for soil classification: methods, challenges, and future prospects. International Journal of Remote Sensing, 46(22), 8488-8545.</w:t>
      </w:r>
    </w:p>
    <w:p>
      <w:pPr>
        <w:pStyle w:val="ListParagraph"/>
        <w:spacing w:after="40"/>
        <w:ind w:left="360" w:hanging="360"/>
      </w:pPr>
      <w:r>
        <w:rPr>
          <w:rFonts w:ascii="Times New Roman" w:hAnsi="Times New Roman"/>
          <w:sz w:val="20"/>
        </w:rPr>
        <w:t>Pandao, M. R., Thakare, A. A., Choudhari, R. J., Navghare, N. R., Sirsat, D. D., &amp; Rathod, S. R. (2024). Soil health and nutrient management. International Journal of Plant &amp; Soil Science, 36(5), 873-883.</w:t>
      </w:r>
    </w:p>
    <w:p>
      <w:pPr>
        <w:pStyle w:val="ListParagraph"/>
        <w:spacing w:after="40"/>
        <w:ind w:left="360" w:hanging="360"/>
      </w:pPr>
      <w:r>
        <w:rPr>
          <w:rFonts w:ascii="Times New Roman" w:hAnsi="Times New Roman"/>
          <w:sz w:val="20"/>
        </w:rPr>
        <w:t>Pandey, U., Vashisth, A., Mishra, A., &amp; Kumari, M. (2025). AI and IoT-Driven Soil Health Restoration: A Machine Learning Approach for Sustainable Agriculture.</w:t>
      </w:r>
    </w:p>
    <w:p>
      <w:pPr>
        <w:pStyle w:val="ListParagraph"/>
        <w:spacing w:after="40"/>
        <w:ind w:left="360" w:hanging="360"/>
      </w:pPr>
      <w:r>
        <w:rPr>
          <w:rFonts w:ascii="Times New Roman" w:hAnsi="Times New Roman"/>
          <w:sz w:val="20"/>
        </w:rPr>
        <w:t>Pandiri, D. K., Murugan, R., &amp; Goel, T. (2024). Smart soil image classification system using lightweight convolutional neural network. Expert Systems with Applications, 238, 122185.</w:t>
      </w:r>
    </w:p>
    <w:p>
      <w:pPr>
        <w:pStyle w:val="ListParagraph"/>
        <w:spacing w:after="40"/>
        <w:ind w:left="360" w:hanging="360"/>
      </w:pPr>
      <w:r>
        <w:rPr>
          <w:rFonts w:ascii="Times New Roman" w:hAnsi="Times New Roman"/>
          <w:sz w:val="20"/>
        </w:rPr>
        <w:t>Parisineni, S. R. A., &amp; Pal, M. (2024). Enhancing trust and interpretability of complex machine learning models using local interpretable model agnostic shap explanations. International Journal of Data Science and Analytics, 18(4), 457-466.</w:t>
      </w:r>
    </w:p>
    <w:p>
      <w:pPr>
        <w:pStyle w:val="ListParagraph"/>
        <w:spacing w:after="40"/>
        <w:ind w:left="360" w:hanging="360"/>
      </w:pPr>
      <w:r>
        <w:rPr>
          <w:rFonts w:ascii="Times New Roman" w:hAnsi="Times New Roman"/>
          <w:sz w:val="20"/>
        </w:rPr>
        <w:t>Peng, M., Liu, Y., Khan, A., Ahmed, B., Sarker, S. K., Ghadi, Y. Y., ... &amp; Ali, Y. A. (2024). Crop monitoring using remote sensing land use and land change data: Comparative analysis of deep learning methods using pre-trained CNN models. Big Data Research, 36, 100448.</w:t>
      </w:r>
    </w:p>
    <w:p>
      <w:pPr>
        <w:pStyle w:val="ListParagraph"/>
        <w:spacing w:after="40"/>
        <w:ind w:left="360" w:hanging="360"/>
      </w:pPr>
      <w:r>
        <w:rPr>
          <w:rFonts w:ascii="Times New Roman" w:hAnsi="Times New Roman"/>
          <w:sz w:val="20"/>
        </w:rPr>
        <w:t>Pham, T. H., Acharya, P., Bachina, S., Osterloh, K., &amp; Nguyen, K. D. (2024). Deep-learning framework for optimal selection of soil sampling sites. Computers and Electronics in Agriculture, 217, 108650.</w:t>
      </w:r>
    </w:p>
    <w:p>
      <w:pPr>
        <w:pStyle w:val="ListParagraph"/>
        <w:spacing w:after="40"/>
        <w:ind w:left="360" w:hanging="360"/>
      </w:pPr>
      <w:r>
        <w:rPr>
          <w:rFonts w:ascii="Times New Roman" w:hAnsi="Times New Roman"/>
          <w:sz w:val="20"/>
        </w:rPr>
        <w:t>Piccini, C., Metzger, K., Debaene, G., Stenberg, B., Gotzinger, S., Boruvka, L., ... &amp; Liebisch, F. (2024). In-field soil spectroscopy in Vis-NIR range for fast and reliable soil analysis: A review. European Journal of Soil Science, 75(2), e13481.</w:t>
      </w:r>
    </w:p>
    <w:p>
      <w:pPr>
        <w:pStyle w:val="ListParagraph"/>
        <w:spacing w:after="40"/>
        <w:ind w:left="360" w:hanging="360"/>
      </w:pPr>
      <w:r>
        <w:rPr>
          <w:rFonts w:ascii="Times New Roman" w:hAnsi="Times New Roman"/>
          <w:sz w:val="20"/>
        </w:rPr>
        <w:t>Pimenow, S., Pimenowa, O., Prus, P., &amp; Niklas, A. (2025). The Impact of Artificial Intelligence on the Sustainability of Regional Ecosystems: Current Challenges and Future Prospects. Sustainability, 17(11), 4795.</w:t>
      </w:r>
    </w:p>
    <w:p>
      <w:pPr>
        <w:pStyle w:val="ListParagraph"/>
        <w:spacing w:after="40"/>
        <w:ind w:left="360" w:hanging="360"/>
      </w:pPr>
      <w:r>
        <w:rPr>
          <w:rFonts w:ascii="Times New Roman" w:hAnsi="Times New Roman"/>
          <w:sz w:val="20"/>
        </w:rPr>
        <w:t>Rao, C. K., Sahoo, S. K., &amp; Yanine, F. F. (2025). A Comprehensive Review of Smart Energy Management Systems for Photovoltaic Power Generation Utilizing the Internet of Things. Unconventional Resources, 100197.</w:t>
      </w:r>
    </w:p>
    <w:p>
      <w:pPr>
        <w:pStyle w:val="ListParagraph"/>
        <w:spacing w:after="40"/>
        <w:ind w:left="360" w:hanging="360"/>
      </w:pPr>
      <w:r>
        <w:rPr>
          <w:rFonts w:ascii="Times New Roman" w:hAnsi="Times New Roman"/>
          <w:sz w:val="20"/>
        </w:rPr>
        <w:t>Rau, R., &amp; Sridhar, P. (2025). The Nexus of Soil Degradation, Climate Change, and Food Insecurity: A Looming Global Migration Crisis. Climate Change, and Food Insecurity: A Looming Global Migration Crisis (April 07, 2025).</w:t>
      </w:r>
    </w:p>
    <w:p>
      <w:pPr>
        <w:pStyle w:val="ListParagraph"/>
        <w:spacing w:after="40"/>
        <w:ind w:left="360" w:hanging="360"/>
      </w:pPr>
      <w:r>
        <w:rPr>
          <w:rFonts w:ascii="Times New Roman" w:hAnsi="Times New Roman"/>
          <w:sz w:val="20"/>
        </w:rPr>
        <w:t>Reddy, N. L., &amp; Gopinath, M. P. (2025). Advanced deep learning framework for soil texture classification. Scientific Reports, 15(1), 34407.</w:t>
      </w:r>
    </w:p>
    <w:p>
      <w:pPr>
        <w:pStyle w:val="ListParagraph"/>
        <w:spacing w:after="40"/>
        <w:ind w:left="360" w:hanging="360"/>
      </w:pPr>
      <w:r>
        <w:rPr>
          <w:rFonts w:ascii="Times New Roman" w:hAnsi="Times New Roman"/>
          <w:sz w:val="20"/>
        </w:rPr>
        <w:t>Reeves, J. B. (2010). Near-versus mid-infrared diffuse reflectance spectroscopy for soil analysis emphasizing carbon and laboratory versus on-site analysis: Where are we and what needs to be done? Geoderma, 158(1-2), 3-14.</w:t>
      </w:r>
    </w:p>
    <w:p>
      <w:pPr>
        <w:pStyle w:val="ListParagraph"/>
        <w:spacing w:after="40"/>
        <w:ind w:left="360" w:hanging="360"/>
      </w:pPr>
      <w:r>
        <w:rPr>
          <w:rFonts w:ascii="Times New Roman" w:hAnsi="Times New Roman"/>
          <w:sz w:val="20"/>
        </w:rPr>
        <w:t>Ribeiro, M. T., Singh, S., &amp; Guestrin, C. (2016). 'Why should I trust you?' Explaining the predictions of any classifier. Proceedings of the 22nd ACM SIGKDD International Conference on Knowledge Discovery and Data Mining, 1135-1144.</w:t>
      </w:r>
    </w:p>
    <w:p>
      <w:pPr>
        <w:pStyle w:val="ListParagraph"/>
        <w:spacing w:after="40"/>
        <w:ind w:left="360" w:hanging="360"/>
      </w:pPr>
      <w:r>
        <w:rPr>
          <w:rFonts w:ascii="Times New Roman" w:hAnsi="Times New Roman"/>
          <w:sz w:val="20"/>
        </w:rPr>
        <w:t>Riese, F. M., Keller, S., &amp; Hinz, S. (2020). Supervised and semi-supervised self-organizing maps for regression and classification focusing on hyperspectral data. Remote Sensing, 12(1), 7.</w:t>
      </w:r>
    </w:p>
    <w:p>
      <w:pPr>
        <w:pStyle w:val="ListParagraph"/>
        <w:spacing w:after="40"/>
        <w:ind w:left="360" w:hanging="360"/>
      </w:pPr>
      <w:r>
        <w:rPr>
          <w:rFonts w:ascii="Times New Roman" w:hAnsi="Times New Roman"/>
          <w:sz w:val="20"/>
        </w:rPr>
        <w:t>Rudin, C., Chen, C., Chen, Z., Huang, H., Semenova, L., &amp; Zhong, C. (2022). Interpretable machine learning: Fundamental principles and 10 grand challenges. Statistic Surveys, 16, 1-85.</w:t>
      </w:r>
    </w:p>
    <w:p>
      <w:pPr>
        <w:pStyle w:val="ListParagraph"/>
        <w:spacing w:after="40"/>
        <w:ind w:left="360" w:hanging="360"/>
      </w:pPr>
      <w:r>
        <w:rPr>
          <w:rFonts w:ascii="Times New Roman" w:hAnsi="Times New Roman"/>
          <w:sz w:val="20"/>
        </w:rPr>
        <w:t>Samarpita, S., &amp; Satpathy, R. (2025). IoT-Enabled Soil Monitoring in Smart Agriculture: Transforming Urban-Rural Sustainability Dynamics. In Leveraging Urban Computing for Sustainable Urban Development (pp. 145-180). IGI Global Scientific Publishing.</w:t>
      </w:r>
    </w:p>
    <w:p>
      <w:pPr>
        <w:pStyle w:val="ListParagraph"/>
        <w:spacing w:after="40"/>
        <w:ind w:left="360" w:hanging="360"/>
      </w:pPr>
      <w:r>
        <w:rPr>
          <w:rFonts w:ascii="Times New Roman" w:hAnsi="Times New Roman"/>
          <w:sz w:val="20"/>
        </w:rPr>
        <w:t>Sarwar, A., et al. (2024). Visual analytics and trend analysis in AI-driven agricultural diagnostics. Multimedia Tools and Applications. https://doi.org/10.1007/s11042-024-19656-0</w:t>
      </w:r>
    </w:p>
    <w:p>
      <w:pPr>
        <w:pStyle w:val="ListParagraph"/>
        <w:spacing w:after="40"/>
        <w:ind w:left="360" w:hanging="360"/>
      </w:pPr>
      <w:r>
        <w:rPr>
          <w:rFonts w:ascii="Times New Roman" w:hAnsi="Times New Roman"/>
          <w:sz w:val="20"/>
        </w:rPr>
        <w:t>Selvaraju, R. R., Cogswell, M., Das, A., Vedantam, R., Parikh, D., &amp; Batra, D. (2017). Grad-CAM: Visual explanations from deep networks via gradient-based localization. Proceedings of the IEEE International Conference on Computer Vision, 618-626.</w:t>
      </w:r>
    </w:p>
    <w:p>
      <w:pPr>
        <w:pStyle w:val="ListParagraph"/>
        <w:spacing w:after="40"/>
        <w:ind w:left="360" w:hanging="360"/>
      </w:pPr>
      <w:r>
        <w:rPr>
          <w:rFonts w:ascii="Times New Roman" w:hAnsi="Times New Roman"/>
          <w:sz w:val="20"/>
        </w:rPr>
        <w:t>Senesi, G. S., &amp; Senesi, N. (2016). Laser-induced breakdown spectroscopy (LIBS) to measure quantitatively soil carbon with emphasis on soil organic carbon. A review. Analytica Chimica Acta, 938, 7-17.</w:t>
      </w:r>
    </w:p>
    <w:p>
      <w:pPr>
        <w:pStyle w:val="ListParagraph"/>
        <w:spacing w:after="40"/>
        <w:ind w:left="360" w:hanging="360"/>
      </w:pPr>
      <w:r>
        <w:rPr>
          <w:rFonts w:ascii="Times New Roman" w:hAnsi="Times New Roman"/>
          <w:sz w:val="20"/>
        </w:rPr>
        <w:t>Shafik, W. (2024). Barriers to implementing computational intelligence-based agriculture system. In Computational Intelligence in Internet of Agricultural Things (pp. 193-219). Cham: Springer Nature Switzerland.</w:t>
      </w:r>
    </w:p>
    <w:p>
      <w:pPr>
        <w:pStyle w:val="ListParagraph"/>
        <w:spacing w:after="40"/>
        <w:ind w:left="360" w:hanging="360"/>
      </w:pPr>
      <w:r>
        <w:rPr>
          <w:rFonts w:ascii="Times New Roman" w:hAnsi="Times New Roman"/>
          <w:sz w:val="20"/>
        </w:rPr>
        <w:t>Sharma, A., Weindorf, D. C., Man, T., Aldabaa, A. A., &amp; Chakraborty, S. (2014). Characterizing soils via portable X-ray fluorescence spectrometer: 3. Soil reaction (pH). Geoderma, 232, 141-147.</w:t>
      </w:r>
    </w:p>
    <w:p>
      <w:pPr>
        <w:pStyle w:val="ListParagraph"/>
        <w:spacing w:after="40"/>
        <w:ind w:left="360" w:hanging="360"/>
      </w:pPr>
      <w:r>
        <w:rPr>
          <w:rFonts w:ascii="Times New Roman" w:hAnsi="Times New Roman"/>
          <w:sz w:val="20"/>
        </w:rPr>
        <w:t>Sharma, N. A., Kumar, K., Chand, R. R., &amp; Kabir, M. A. (2025). Utilizing hyperspectral imaging with machine learning techniques for soil analysis. Computational Intelligence Based Hyperspectral Image Analysis and Applications: Volume 2, 117-143.</w:t>
      </w:r>
    </w:p>
    <w:p>
      <w:pPr>
        <w:pStyle w:val="ListParagraph"/>
        <w:spacing w:after="40"/>
        <w:ind w:left="360" w:hanging="360"/>
      </w:pPr>
      <w:r>
        <w:rPr>
          <w:rFonts w:ascii="Times New Roman" w:hAnsi="Times New Roman"/>
          <w:sz w:val="20"/>
        </w:rPr>
        <w:t>Silva, I. F. S. D., Araujo, A. D. C., Almeida, J. D. S. D., Paiva, A. C. D., Silva, A. C., &amp; Roehl, D. (2025). Soil structure analysis with attention: a deep-learning-based method for 3D pore segmentation and characterization. AgriEngineering, 7(2), 27.</w:t>
      </w:r>
    </w:p>
    <w:p>
      <w:pPr>
        <w:pStyle w:val="ListParagraph"/>
        <w:spacing w:after="40"/>
        <w:ind w:left="360" w:hanging="360"/>
      </w:pPr>
      <w:r>
        <w:rPr>
          <w:rFonts w:ascii="Times New Roman" w:hAnsi="Times New Roman"/>
          <w:sz w:val="20"/>
        </w:rPr>
        <w:t>Soriano-Disla, J. M., Janik, L. J., Viscarra Rossel, R. A., Macdonald, L. M., &amp; McLaughlin, M. J. (2014). The performance of visible, near-, and mid-infrared reflectance spectroscopy for prediction of soil physical, chemical, and biological properties. Applied Spectroscopy Reviews, 49(2), 139-186.</w:t>
      </w:r>
    </w:p>
    <w:p>
      <w:pPr>
        <w:pStyle w:val="ListParagraph"/>
        <w:spacing w:after="40"/>
        <w:ind w:left="360" w:hanging="360"/>
      </w:pPr>
      <w:r>
        <w:rPr>
          <w:rFonts w:ascii="Times New Roman" w:hAnsi="Times New Roman"/>
          <w:sz w:val="20"/>
        </w:rPr>
        <w:t>Soy, H. (2023). Coverage analysis of LoRa and NB-IoT technologies on LPWAN-based agricultural vehicle tracking application. Sensors, 23(21), 8859.</w:t>
      </w:r>
    </w:p>
    <w:p>
      <w:pPr>
        <w:pStyle w:val="ListParagraph"/>
        <w:spacing w:after="40"/>
        <w:ind w:left="360" w:hanging="360"/>
      </w:pPr>
      <w:r>
        <w:rPr>
          <w:rFonts w:ascii="Times New Roman" w:hAnsi="Times New Roman"/>
          <w:sz w:val="20"/>
        </w:rPr>
        <w:t>Spanaki, K., Karafili, E., &amp; Despoudi, S. (2021). AI applications of data sharing in agriculture 4.0: A framework for role-based data access control. International Journal of Information Management, 59, 102350.</w:t>
      </w:r>
    </w:p>
    <w:p>
      <w:pPr>
        <w:pStyle w:val="ListParagraph"/>
        <w:spacing w:after="40"/>
        <w:ind w:left="360" w:hanging="360"/>
      </w:pPr>
      <w:r>
        <w:rPr>
          <w:rFonts w:ascii="Times New Roman" w:hAnsi="Times New Roman"/>
          <w:sz w:val="20"/>
        </w:rPr>
        <w:t>Sparks, D. L., Page, A. L., Helmke, P. A., &amp; Loeppert, R. H. (Eds.). (2020). Methods of soil analysis, part 3: Chemical methods. John Wiley &amp; Sons.</w:t>
      </w:r>
    </w:p>
    <w:p>
      <w:pPr>
        <w:pStyle w:val="ListParagraph"/>
        <w:spacing w:after="40"/>
        <w:ind w:left="360" w:hanging="360"/>
      </w:pPr>
      <w:r>
        <w:rPr>
          <w:rFonts w:ascii="Times New Roman" w:hAnsi="Times New Roman"/>
          <w:sz w:val="20"/>
        </w:rPr>
        <w:t>Srivastava, P., Shukla, A., &amp; Bansal, A. (2021). A comprehensive review on soil classification using deep learning and computer vision techniques. Multimedia Tools and Applications, 80(10), 14887-14914.</w:t>
      </w:r>
    </w:p>
    <w:p>
      <w:pPr>
        <w:pStyle w:val="ListParagraph"/>
        <w:spacing w:after="40"/>
        <w:ind w:left="360" w:hanging="360"/>
      </w:pPr>
      <w:r>
        <w:rPr>
          <w:rFonts w:ascii="Times New Roman" w:hAnsi="Times New Roman"/>
          <w:sz w:val="20"/>
        </w:rPr>
        <w:t>Steinberg, A., Chabrillat, S., Stevens, A., Segl, K., &amp; Foerster, S. (2016). Prediction of common surface soil properties based on Vis-NIR airborne and simulated EnMAP imaging spectroscopy data: Prediction accuracy and influence of spatial resolution. Remote Sensing, 8(7), 613.</w:t>
      </w:r>
    </w:p>
    <w:p>
      <w:pPr>
        <w:pStyle w:val="ListParagraph"/>
        <w:spacing w:after="40"/>
        <w:ind w:left="360" w:hanging="360"/>
      </w:pPr>
      <w:r>
        <w:rPr>
          <w:rFonts w:ascii="Times New Roman" w:hAnsi="Times New Roman"/>
          <w:sz w:val="20"/>
        </w:rPr>
        <w:t>Stephens, A. F., Seman, M., Diehl, A., Pilcher, D., Barbaro, R. P., Brodie, D., ... &amp; Extracorporeal Life Support Organization Member Centres. (2023). ECMO PAL: using deep neural networks for survival prediction in venoarterial extracorporeal membrane oxygenation. Intensive Care Medicine, 49(9), 1090-1099.</w:t>
      </w:r>
    </w:p>
    <w:p>
      <w:pPr>
        <w:pStyle w:val="ListParagraph"/>
        <w:spacing w:after="40"/>
        <w:ind w:left="360" w:hanging="360"/>
      </w:pPr>
      <w:r>
        <w:rPr>
          <w:rFonts w:ascii="Times New Roman" w:hAnsi="Times New Roman"/>
          <w:sz w:val="20"/>
        </w:rPr>
        <w:t>Subramoniam, S. R., Naveena, K., Fasil, M., Chandrasekaran, B., Gopinath, G., Hebbar, R., &amp; Surendran, U. (2025). Soil Spectra for Smart Farming-A Scalable Alternative to Wet Chemistry Using Fusion of Hyperspectral and Machine Learning in Diverse Agro Ecologies of India. Earth Systems and Environment, 1-19.</w:t>
      </w:r>
    </w:p>
    <w:p>
      <w:pPr>
        <w:pStyle w:val="ListParagraph"/>
        <w:spacing w:after="40"/>
        <w:ind w:left="360" w:hanging="360"/>
      </w:pPr>
      <w:r>
        <w:rPr>
          <w:rFonts w:ascii="Times New Roman" w:hAnsi="Times New Roman"/>
          <w:sz w:val="20"/>
        </w:rPr>
        <w:t>Tahmouresi, M. S., Niksokhan, M. H., &amp; Ehsani, A. H. (2024). Enhancing spatial resolution of satellite soil moisture data through stacking ensemble learning techniques. Scientific Reports, 14(1), 25454.</w:t>
      </w:r>
    </w:p>
    <w:p>
      <w:pPr>
        <w:pStyle w:val="ListParagraph"/>
        <w:spacing w:after="40"/>
        <w:ind w:left="360" w:hanging="360"/>
      </w:pPr>
      <w:r>
        <w:rPr>
          <w:rFonts w:ascii="Times New Roman" w:hAnsi="Times New Roman"/>
          <w:sz w:val="20"/>
        </w:rPr>
        <w:t>Tan, T., Genova, G., Heuvelink, G. B., Lehmann, J., Poggio, L., Woolf, D., &amp; You, F. (2024). Importance of terrain and climate for predicting soil organic carbon is highly variable across local to continental scales. Environmental Science &amp; Technology, 58(26), 11492-11503.</w:t>
      </w:r>
    </w:p>
    <w:p>
      <w:pPr>
        <w:pStyle w:val="ListParagraph"/>
        <w:spacing w:after="40"/>
        <w:ind w:left="360" w:hanging="360"/>
      </w:pPr>
      <w:r>
        <w:rPr>
          <w:rFonts w:ascii="Times New Roman" w:hAnsi="Times New Roman"/>
          <w:sz w:val="20"/>
        </w:rPr>
        <w:t>Taye, M. M. (2023). Understanding of machine learning with deep learning: architectures, workflow, applications and future directions. Computers, 12(5), 91.</w:t>
      </w:r>
    </w:p>
    <w:p>
      <w:pPr>
        <w:pStyle w:val="ListParagraph"/>
        <w:spacing w:after="40"/>
        <w:ind w:left="360" w:hanging="360"/>
      </w:pPr>
      <w:r>
        <w:rPr>
          <w:rFonts w:ascii="Times New Roman" w:hAnsi="Times New Roman"/>
          <w:sz w:val="20"/>
        </w:rPr>
        <w:t>Thapa, P., &amp; Thapa, M. (2025). Drone in hyperspectral remote sensing data analytics: techniques and applications. Geocarto International, 40(1), 2572670.</w:t>
      </w:r>
    </w:p>
    <w:p>
      <w:pPr>
        <w:pStyle w:val="ListParagraph"/>
        <w:spacing w:after="40"/>
        <w:ind w:left="360" w:hanging="360"/>
      </w:pPr>
      <w:r>
        <w:rPr>
          <w:rFonts w:ascii="Times New Roman" w:hAnsi="Times New Roman"/>
          <w:sz w:val="20"/>
        </w:rPr>
        <w:t>Thompson, J. A., Kienast-Brown, S., D'Avello, T., Philippe, J., &amp; Brungard, C. (2020). Soils2026 and digital soil mapping-A foundation for the future of soils information in the United States. Geoderma Regional, 22, e00294.</w:t>
      </w:r>
    </w:p>
    <w:p>
      <w:pPr>
        <w:pStyle w:val="ListParagraph"/>
        <w:spacing w:after="40"/>
        <w:ind w:left="360" w:hanging="360"/>
      </w:pPr>
      <w:r>
        <w:rPr>
          <w:rFonts w:ascii="Times New Roman" w:hAnsi="Times New Roman"/>
          <w:sz w:val="20"/>
        </w:rPr>
        <w:t>Todd-Brown, K. E., Abramoff, R. Z., Beem-Miller, J., Blair, H. K., Earl, S., Frederick, K. J., ... &amp; Younger, M. L. (2022). Reviews and syntheses: The promise of big diverse soil data, moving current practices towards future potential. Biogeosciences, 19(14), 3505-3522.</w:t>
      </w:r>
    </w:p>
    <w:p>
      <w:pPr>
        <w:pStyle w:val="ListParagraph"/>
        <w:spacing w:after="40"/>
        <w:ind w:left="360" w:hanging="360"/>
      </w:pPr>
      <w:r>
        <w:rPr>
          <w:rFonts w:ascii="Times New Roman" w:hAnsi="Times New Roman"/>
          <w:sz w:val="20"/>
        </w:rPr>
        <w:t>Tornese, I., Matera, A., Rashvand, M., &amp; Genovese, F. (2024). Use of probes and sensors in agriculture-current trends and future prospects on intelligent monitoring of soil moisture and nutrients. AgriEngineering, 6(4), 4154-4181.</w:t>
      </w:r>
    </w:p>
    <w:p>
      <w:pPr>
        <w:pStyle w:val="ListParagraph"/>
        <w:spacing w:after="40"/>
        <w:ind w:left="360" w:hanging="360"/>
      </w:pPr>
      <w:r>
        <w:rPr>
          <w:rFonts w:ascii="Times New Roman" w:hAnsi="Times New Roman"/>
          <w:sz w:val="20"/>
        </w:rPr>
        <w:t>Vaudour, E., Gholizadeh, A., Castaldi, F., Saberioon, M., Boruvka, L., Urbina-Salazar, D., ... &amp; Van Wesemael, B. (2022). Satellite imagery to map topsoil organic carbon content over cultivated areas: an overview. Remote Sensing, 14(12), 2917.</w:t>
      </w:r>
    </w:p>
    <w:p>
      <w:pPr>
        <w:pStyle w:val="ListParagraph"/>
        <w:spacing w:after="40"/>
        <w:ind w:left="360" w:hanging="360"/>
      </w:pPr>
      <w:r>
        <w:rPr>
          <w:rFonts w:ascii="Times New Roman" w:hAnsi="Times New Roman"/>
          <w:sz w:val="20"/>
        </w:rPr>
        <w:t>Venkateswara, S. M., &amp; Padmanaban, J. (2025). Interpretable deep learning models for independent fertilizer and crop recommendation. Scientific Reports, 15(1), 41721.</w:t>
      </w:r>
    </w:p>
    <w:p>
      <w:pPr>
        <w:pStyle w:val="ListParagraph"/>
        <w:spacing w:after="40"/>
        <w:ind w:left="360" w:hanging="360"/>
      </w:pPr>
      <w:r>
        <w:rPr>
          <w:rFonts w:ascii="Times New Roman" w:hAnsi="Times New Roman"/>
          <w:sz w:val="20"/>
        </w:rPr>
        <w:t>Viscarra Rossel, R. A., Behrens, T., Ben-Dor, E., Brown, D. J., Dematte, J. A., Shepherd, K. D., ... &amp; Ji, W. (2016). A global spectral library to characterize the world's soil. Earth-Science Reviews, 155, 198-230.</w:t>
      </w:r>
    </w:p>
    <w:p>
      <w:pPr>
        <w:pStyle w:val="ListParagraph"/>
        <w:spacing w:after="40"/>
        <w:ind w:left="360" w:hanging="360"/>
      </w:pPr>
      <w:r>
        <w:rPr>
          <w:rFonts w:ascii="Times New Roman" w:hAnsi="Times New Roman"/>
          <w:sz w:val="20"/>
        </w:rPr>
        <w:t>Wadoux, A. M. C. (2025). Artificial intelligence in soil science. European Journal of Soil Science, 76(2), e70080.</w:t>
      </w:r>
    </w:p>
    <w:p>
      <w:pPr>
        <w:pStyle w:val="ListParagraph"/>
        <w:spacing w:after="40"/>
        <w:ind w:left="360" w:hanging="360"/>
      </w:pPr>
      <w:r>
        <w:rPr>
          <w:rFonts w:ascii="Times New Roman" w:hAnsi="Times New Roman"/>
          <w:sz w:val="20"/>
        </w:rPr>
        <w:t>Wadoux, A. M. C., Minasny, B., &amp; McBratney, A. B. (2020). Machine learning for digital soil mapping: Applications, challenges and suggested solutions. Earth-Science Reviews, 210, 103359.</w:t>
      </w:r>
    </w:p>
    <w:p>
      <w:pPr>
        <w:pStyle w:val="ListParagraph"/>
        <w:spacing w:after="40"/>
        <w:ind w:left="360" w:hanging="360"/>
      </w:pPr>
      <w:r>
        <w:rPr>
          <w:rFonts w:ascii="Times New Roman" w:hAnsi="Times New Roman"/>
          <w:sz w:val="20"/>
        </w:rPr>
        <w:t>Wadoux, A. M. C., Padarian, J., &amp; Minasny, B. (2021). Multi-source data integration for soil mapping using deep learning. SOIL, 7(1), 107-122.</w:t>
      </w:r>
    </w:p>
    <w:p>
      <w:pPr>
        <w:pStyle w:val="ListParagraph"/>
        <w:spacing w:after="40"/>
        <w:ind w:left="360" w:hanging="360"/>
      </w:pPr>
      <w:r>
        <w:rPr>
          <w:rFonts w:ascii="Times New Roman" w:hAnsi="Times New Roman"/>
          <w:sz w:val="20"/>
        </w:rPr>
        <w:t>Wang, B., Waters, C., Orgill, S., Cowie, A., Clark, A., Li Liu, D., ... &amp; Sides, T. (2018). Estimating soil organic carbon stocks using different modelling techniques in the semi-arid rangelands of eastern Australia. Ecological Indicators, 88, 425-438.</w:t>
      </w:r>
    </w:p>
    <w:p>
      <w:pPr>
        <w:pStyle w:val="ListParagraph"/>
        <w:spacing w:after="40"/>
        <w:ind w:left="360" w:hanging="360"/>
      </w:pPr>
      <w:r>
        <w:rPr>
          <w:rFonts w:ascii="Times New Roman" w:hAnsi="Times New Roman"/>
          <w:sz w:val="20"/>
        </w:rPr>
        <w:t>Wang, D., Cao, W., Zhang, F., Li, Z., Xu, S., &amp; Wu, X. (2022). A review of deep learning in multiscale agricultural sensing. Remote Sensing, 14(3), 559.</w:t>
      </w:r>
    </w:p>
    <w:p>
      <w:pPr>
        <w:pStyle w:val="ListParagraph"/>
        <w:spacing w:after="40"/>
        <w:ind w:left="360" w:hanging="360"/>
      </w:pPr>
      <w:r>
        <w:rPr>
          <w:rFonts w:ascii="Times New Roman" w:hAnsi="Times New Roman"/>
          <w:sz w:val="20"/>
        </w:rPr>
        <w:t>Wang, L., Cheng, Y., Meftaul, I. M., Luo, F., Kabir, M. A., Doyle, R., ... &amp; Naidu, R. (2024). Advancing soil health: challenges and opportunities in integrating digital imaging, spectroscopy, and machine learning for bioindicator analysis. Analytical Chemistry, 96(20), 8109-8123.</w:t>
      </w:r>
    </w:p>
    <w:p>
      <w:pPr>
        <w:pStyle w:val="ListParagraph"/>
        <w:spacing w:after="40"/>
        <w:ind w:left="360" w:hanging="360"/>
      </w:pPr>
      <w:r>
        <w:rPr>
          <w:rFonts w:ascii="Times New Roman" w:hAnsi="Times New Roman"/>
          <w:sz w:val="20"/>
        </w:rPr>
        <w:t>Weindorf, D. C., Zhu, Y., Chakraborty, S., Bakr, N., &amp; Huang, B. (2012). Use of portable X-ray fluorescence spectrometry for environmental quality assessment of peri-urban agriculture. Environmental Monitoring and Assessment, 184(1), 217-227.</w:t>
      </w:r>
    </w:p>
    <w:p>
      <w:pPr>
        <w:pStyle w:val="ListParagraph"/>
        <w:spacing w:after="40"/>
        <w:ind w:left="360" w:hanging="360"/>
      </w:pPr>
      <w:r>
        <w:rPr>
          <w:rFonts w:ascii="Times New Roman" w:hAnsi="Times New Roman"/>
          <w:sz w:val="20"/>
        </w:rPr>
        <w:t>Wen, G., Cao, Y., &amp; Wei, X. (2025). The data-driven analysis of soil health and crop adaptability: Technologies, impacts, and optimization strategies. Advances in Resources Research, 5(1), 350-368.</w:t>
      </w:r>
    </w:p>
    <w:p>
      <w:pPr>
        <w:pStyle w:val="ListParagraph"/>
        <w:spacing w:after="40"/>
        <w:ind w:left="360" w:hanging="360"/>
      </w:pPr>
      <w:r>
        <w:rPr>
          <w:rFonts w:ascii="Times New Roman" w:hAnsi="Times New Roman"/>
          <w:sz w:val="20"/>
        </w:rPr>
        <w:t>Were, K., Bui, D. T., Dick, O. B., &amp; Singh, B. R. (2015). A comparative assessment of support vector regression, artificial neural networks, and random forests for predicting and mapping soil organic carbon stocks across an Afromontane landscape. Ecological Indicators, 52, 394-403.</w:t>
      </w:r>
    </w:p>
    <w:p>
      <w:pPr>
        <w:pStyle w:val="ListParagraph"/>
        <w:spacing w:after="40"/>
        <w:ind w:left="360" w:hanging="360"/>
      </w:pPr>
      <w:r>
        <w:rPr>
          <w:rFonts w:ascii="Times New Roman" w:hAnsi="Times New Roman"/>
          <w:sz w:val="20"/>
        </w:rPr>
        <w:t>Xie, A., &amp; Wu, W. (2025). Evaluating the impact of soil moisture variation on the performance of visible and near-infrared (Vis-NIR) spectroscopy for predicting soil organic carbon content. Environmental Monitoring and Assessment, 197(11), 1221.</w:t>
      </w:r>
    </w:p>
    <w:p>
      <w:pPr>
        <w:pStyle w:val="ListParagraph"/>
        <w:spacing w:after="40"/>
        <w:ind w:left="360" w:hanging="360"/>
      </w:pPr>
      <w:r>
        <w:rPr>
          <w:rFonts w:ascii="Times New Roman" w:hAnsi="Times New Roman"/>
          <w:sz w:val="20"/>
        </w:rPr>
        <w:t>Xu, X., Du, C., Ma, F., Shen, Y., &amp; Zhou, J. (2019). Fast identification of the heavy metal content in soil using laser-induced breakdown spectroscopy with interval partial least-squares assisted support vector machine. International Journal of Environmental Analytical Chemistry, 99(8), 755-769.</w:t>
      </w:r>
    </w:p>
    <w:p>
      <w:pPr>
        <w:pStyle w:val="ListParagraph"/>
        <w:spacing w:after="40"/>
        <w:ind w:left="360" w:hanging="360"/>
      </w:pPr>
      <w:r>
        <w:rPr>
          <w:rFonts w:ascii="Times New Roman" w:hAnsi="Times New Roman"/>
          <w:sz w:val="20"/>
        </w:rPr>
        <w:t>Yin, H., Cao, Y., Marelli, B., Zeng, X., Mason, A. J., &amp; Cao, C. (2021). Soil sensors and plant wearables for smart and precision agriculture. Advanced Materials, 33(20), 2007764.</w:t>
      </w:r>
    </w:p>
    <w:p>
      <w:pPr>
        <w:pStyle w:val="ListParagraph"/>
        <w:spacing w:after="40"/>
        <w:ind w:left="360" w:hanging="360"/>
      </w:pPr>
      <w:r>
        <w:rPr>
          <w:rFonts w:ascii="Times New Roman" w:hAnsi="Times New Roman"/>
          <w:sz w:val="20"/>
        </w:rPr>
        <w:t>Yin, J., Shi, Z., Li, B., Sun, F., Miao, T., Shi, Z., ... &amp; Ji, W. (2023). Prediction of soil properties in a field in typical black soil areas using in situ MIR spectra and its comparison with vis-NIR spectra. Remote Sensing, 15(8), 2053.</w:t>
      </w:r>
    </w:p>
    <w:p>
      <w:pPr>
        <w:pStyle w:val="ListParagraph"/>
        <w:spacing w:after="40"/>
        <w:ind w:left="360" w:hanging="360"/>
      </w:pPr>
      <w:r>
        <w:rPr>
          <w:rFonts w:ascii="Times New Roman" w:hAnsi="Times New Roman"/>
          <w:sz w:val="20"/>
        </w:rPr>
        <w:t>Youwai, S., &amp; Detcheewa, S. (2025). Predicting rapid impact compaction of soil using a parallel transformer and long short-term memory architecture for sequential soil profile encoding. Engineering Applications of Artificial Intelligence, 139, 109664.</w:t>
      </w:r>
    </w:p>
    <w:p>
      <w:pPr>
        <w:pStyle w:val="ListParagraph"/>
        <w:spacing w:after="40"/>
        <w:ind w:left="360" w:hanging="360"/>
      </w:pPr>
      <w:r>
        <w:rPr>
          <w:rFonts w:ascii="Times New Roman" w:hAnsi="Times New Roman"/>
          <w:sz w:val="20"/>
        </w:rPr>
        <w:t>Yu, W., Jiang, Y., Liang, W., Wan, D., Liang, B., &amp; Shi, Z. (2023). High-resolution mapping and driving factors of soil erodibility in southeastern Tibet. Catena, 220, 106725.</w:t>
      </w:r>
    </w:p>
    <w:p>
      <w:pPr>
        <w:pStyle w:val="ListParagraph"/>
        <w:spacing w:after="40"/>
        <w:ind w:left="360" w:hanging="360"/>
      </w:pPr>
      <w:r>
        <w:rPr>
          <w:rFonts w:ascii="Times New Roman" w:hAnsi="Times New Roman"/>
          <w:sz w:val="20"/>
        </w:rPr>
        <w:t>Yuzugullu, O., Fajraoui, N., &amp; Liebisch, F. (2024). Soil texture and pH mapping using remote sensing and support sampling. IEEE Journal of Selected Topics in Applied Earth Observations and Remote Sensing, 17, 12685-12705.</w:t>
      </w:r>
    </w:p>
    <w:p>
      <w:pPr>
        <w:pStyle w:val="ListParagraph"/>
        <w:spacing w:after="40"/>
        <w:ind w:left="360" w:hanging="360"/>
      </w:pPr>
      <w:r>
        <w:rPr>
          <w:rFonts w:ascii="Times New Roman" w:hAnsi="Times New Roman"/>
          <w:sz w:val="20"/>
        </w:rPr>
        <w:t>Zeng, Y., Verhoef, A., Vereecken, H., Ben-Dor, E., Veldkamp, T., Shaw, L., ... &amp; Su, Z. (2025). Monitoring and modeling the soil-plant system toward understanding soil health. Reviews of Geophysics, 63(1), e2024RG000836.</w:t>
      </w:r>
    </w:p>
    <w:p>
      <w:pPr>
        <w:pStyle w:val="ListParagraph"/>
        <w:spacing w:after="40"/>
        <w:ind w:left="360" w:hanging="360"/>
      </w:pPr>
      <w:r>
        <w:rPr>
          <w:rFonts w:ascii="Times New Roman" w:hAnsi="Times New Roman"/>
          <w:sz w:val="20"/>
        </w:rPr>
        <w:t>Zhang, X., Xue, J., Xiao, Y., Shi, Z., &amp; Chen, S. (2023). Towards optimal variable selection methods for soil property prediction using a regional soil VIS-NIR spectral library. Remote Sensing, 15(2), 465.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